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41" w:rsidRPr="000832AF" w:rsidRDefault="00064A41" w:rsidP="00064A41">
      <w:pPr>
        <w:spacing w:before="120" w:after="105" w:line="360" w:lineRule="atLeast"/>
        <w:ind w:left="240" w:right="240" w:firstLine="0"/>
        <w:jc w:val="left"/>
        <w:outlineLvl w:val="0"/>
        <w:rPr>
          <w:rFonts w:ascii="Verdana" w:eastAsia="Times New Roman" w:hAnsi="Verdana" w:cs="Times New Roman"/>
          <w:kern w:val="36"/>
          <w:sz w:val="30"/>
          <w:szCs w:val="30"/>
          <w:lang w:eastAsia="ru-RU"/>
        </w:rPr>
      </w:pPr>
      <w:bookmarkStart w:id="0" w:name="_GoBack"/>
      <w:bookmarkEnd w:id="0"/>
      <w:r w:rsidRPr="000832AF">
        <w:rPr>
          <w:rFonts w:ascii="Verdana" w:eastAsia="Times New Roman" w:hAnsi="Verdana" w:cs="Times New Roman"/>
          <w:kern w:val="36"/>
          <w:sz w:val="30"/>
          <w:szCs w:val="30"/>
          <w:lang w:eastAsia="ru-RU"/>
        </w:rPr>
        <w:t>СТО Газпром 2-2.3-238-2008 «Методика акустико-эмиссионного контроля переходов магистральных газопроводов через водные преграды, автомобильные и железные дороги»</w:t>
      </w:r>
    </w:p>
    <w:p w:rsidR="00064A41" w:rsidRPr="000832AF" w:rsidRDefault="00064A41" w:rsidP="00064A41">
      <w:pPr>
        <w:spacing w:line="210" w:lineRule="atLeast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ОТКРЫТОЕ АКЦИОНЕРНОЕ ОБЩЕСТВО «ГАЗПРОМ»</w:t>
      </w:r>
    </w:p>
    <w:p w:rsidR="00064A41" w:rsidRPr="000832AF" w:rsidRDefault="00064A41" w:rsidP="00064A41">
      <w:pPr>
        <w:spacing w:line="210" w:lineRule="atLeast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СТАНДАРТ ОРГАНИЗАЦИИ</w:t>
      </w:r>
    </w:p>
    <w:p w:rsidR="00064A41" w:rsidRPr="000832AF" w:rsidRDefault="00064A41" w:rsidP="00064A41">
      <w:pPr>
        <w:spacing w:line="210" w:lineRule="atLeast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МЕТОДИКА АКУСТИКО-ЭМИССИОННОГО КОНТРОЛЯ </w:t>
      </w:r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br/>
        <w:t>ПЕРЕХОДОВ МАГИСТРАЛЬНЫХ ГАЗОПРОВОДОВ ЧЕРЕЗ </w:t>
      </w:r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br/>
        <w:t>ВОДНЫЕ ПРЕГРАДЫ, АВТОМОБИЛЬНЫЕ И ЖЕЛЕЗНЫЕ ДОРОГИ</w:t>
      </w:r>
    </w:p>
    <w:p w:rsidR="00064A41" w:rsidRPr="000832AF" w:rsidRDefault="00064A41" w:rsidP="00064A41">
      <w:pPr>
        <w:spacing w:line="210" w:lineRule="atLeast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СТО Газпром2-2.3-238-2008</w:t>
      </w:r>
    </w:p>
    <w:p w:rsidR="00064A41" w:rsidRPr="000832AF" w:rsidRDefault="00064A41" w:rsidP="00064A41">
      <w:pPr>
        <w:spacing w:line="210" w:lineRule="atLeast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Москва 2009</w:t>
      </w:r>
    </w:p>
    <w:p w:rsidR="00064A41" w:rsidRPr="000832AF" w:rsidRDefault="00064A41" w:rsidP="00064A41">
      <w:pPr>
        <w:spacing w:line="210" w:lineRule="atLeast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Предисловие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1 РАЗРАБОТАН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Федеральнымгосударственным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учреждением «Научно-учебный центр «Сварка и контроль» при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МГТУим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. Н.Э. Баумана»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2 ВНЕСЕН Управлением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потранспортировке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газа и газового конденсата Департамента по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транспортировке,подземному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хранению и использованию газа ОАО «Газпром»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3 УТВЕРЖДЕН И ВВЕДЕН ВДЕЙСТВИЕ Распоряжением ОАО «Газпром» от 15 августа 2008г. № 252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4 ВВЕДЕН ВПЕРВЫЕ</w:t>
      </w:r>
    </w:p>
    <w:p w:rsidR="00064A41" w:rsidRPr="000832AF" w:rsidRDefault="00064A41" w:rsidP="00064A41">
      <w:pPr>
        <w:spacing w:line="210" w:lineRule="atLeast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Содержание</w:t>
      </w:r>
    </w:p>
    <w:tbl>
      <w:tblPr>
        <w:tblW w:w="98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0832AF" w:rsidRPr="000832AF" w:rsidTr="00064A41">
        <w:trPr>
          <w:jc w:val="center"/>
        </w:trPr>
        <w:tc>
          <w:tcPr>
            <w:tcW w:w="9855" w:type="dxa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1 Область применения</w:t>
            </w:r>
          </w:p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2 Нормативные ссылки</w:t>
            </w:r>
          </w:p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4 Сокращения</w:t>
            </w:r>
          </w:p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5 Требования к организациям и специалистам, проводящим акустико-эмиссионный контроль</w:t>
            </w:r>
          </w:p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6 Требования к аппаратуре</w:t>
            </w:r>
          </w:p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7 Проведение акустико-эмиссионного контроля</w:t>
            </w:r>
          </w:p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8 Оценка результатов акустико-эмиссионного контроля</w:t>
            </w:r>
          </w:p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9 Требования безопасности</w:t>
            </w:r>
          </w:p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Приложение А (рекомендуемое) Форма протокола акустико-эмиссионного контроля</w:t>
            </w:r>
          </w:p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Приложение Б (рекомендуемое) Форма заключения по результатам акустико-эмиссионного контроля</w:t>
            </w:r>
          </w:p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Библиография</w:t>
            </w:r>
          </w:p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64A41" w:rsidRPr="000832AF" w:rsidRDefault="00064A41" w:rsidP="00064A41">
      <w:pPr>
        <w:spacing w:line="210" w:lineRule="atLeast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СТАНДАРТ ОТКРЫТОГО АКЦИОНЕРНОГО ОБЩЕСТВА «ГАЗПРОМ»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832AF" w:rsidRPr="000832AF" w:rsidTr="00064A41">
        <w:trPr>
          <w:jc w:val="center"/>
        </w:trPr>
        <w:tc>
          <w:tcPr>
            <w:tcW w:w="5000" w:type="pct"/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МЕТОДИКА АКУСТИКО-ЭМИССИОННОГО КОНТРОЛЯ ПЕРЕХОДОВ </w:t>
            </w:r>
            <w:r w:rsidRPr="000832AF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br/>
              <w:t>МАГИСТРАЛЬНЫХ ГАЗОПРОВОДОВ ЧЕРЕЗ </w:t>
            </w:r>
            <w:r w:rsidRPr="000832AF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br/>
              <w:t>ВОДНЫЕ ПРЕГРАДЫ, АВТОМОБИЛЬНЫЕ И ЖЕЛЕЗНЫЕ ДОРОГИ</w:t>
            </w:r>
          </w:p>
        </w:tc>
      </w:tr>
    </w:tbl>
    <w:p w:rsidR="00064A41" w:rsidRPr="000832AF" w:rsidRDefault="00064A41" w:rsidP="00064A41">
      <w:pPr>
        <w:spacing w:line="210" w:lineRule="atLeast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Дата введения- 2009-04-06</w:t>
      </w:r>
    </w:p>
    <w:p w:rsidR="00064A41" w:rsidRPr="000832AF" w:rsidRDefault="00064A41" w:rsidP="00064A41">
      <w:pPr>
        <w:spacing w:line="360" w:lineRule="atLeast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bookmarkStart w:id="1" w:name="i18851"/>
      <w:r w:rsidRPr="000832AF">
        <w:rPr>
          <w:rFonts w:eastAsia="Times New Roman" w:cs="Times New Roman"/>
          <w:b/>
          <w:bCs/>
          <w:kern w:val="36"/>
          <w:sz w:val="30"/>
          <w:szCs w:val="30"/>
          <w:bdr w:val="none" w:sz="0" w:space="0" w:color="auto" w:frame="1"/>
          <w:lang w:eastAsia="ru-RU"/>
        </w:rPr>
        <w:t>1 Область применения</w:t>
      </w:r>
      <w:bookmarkEnd w:id="1"/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1.1 Настоящий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стандартраспространяется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на переходы магистральных газопроводов, выполненных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изстальных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труб, рекомендованных нормативными документами ОАО «Газпром»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кприменению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диаметром до 1420мм включительно, через водные преграды, автомобильные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ижелезные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дороги.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1.2 Настоящий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стандартустанавливает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порядок проведения акустико-эмиссионного контроля, требования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какустико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-эмиссионной аппаратуре, системе нагружения, последовательность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оценкии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оформления результатов акустико-эмиссионного контроля переходов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магистральныхгазопроводов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через водные преграды, автомобильные и железные дороги,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1.3 Настоящий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стандартпредназначен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для дочерних обществ ОАО «Газпром» и организаций,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выполняющихработы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по проектированию, ремонту (в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т.ч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. при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переизоляции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) </w:t>
      </w: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lastRenderedPageBreak/>
        <w:t xml:space="preserve">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диагностикеобъектов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магистральных газопроводов ОАО «Газпром» (далее также газопроводы).</w:t>
      </w:r>
    </w:p>
    <w:p w:rsidR="00064A41" w:rsidRPr="000832AF" w:rsidRDefault="00064A41" w:rsidP="00064A41">
      <w:pPr>
        <w:spacing w:line="360" w:lineRule="atLeast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bookmarkStart w:id="2" w:name="i26855"/>
      <w:r w:rsidRPr="000832AF">
        <w:rPr>
          <w:rFonts w:eastAsia="Times New Roman" w:cs="Times New Roman"/>
          <w:b/>
          <w:bCs/>
          <w:kern w:val="36"/>
          <w:sz w:val="30"/>
          <w:szCs w:val="30"/>
          <w:bdr w:val="none" w:sz="0" w:space="0" w:color="auto" w:frame="1"/>
          <w:lang w:eastAsia="ru-RU"/>
        </w:rPr>
        <w:t>2 </w:t>
      </w:r>
      <w:bookmarkEnd w:id="2"/>
      <w:r w:rsidRPr="000832AF">
        <w:rPr>
          <w:rFonts w:eastAsia="Times New Roman" w:cs="Times New Roman"/>
          <w:b/>
          <w:bCs/>
          <w:kern w:val="36"/>
          <w:sz w:val="30"/>
          <w:szCs w:val="30"/>
          <w:bdr w:val="none" w:sz="0" w:space="0" w:color="auto" w:frame="1"/>
          <w:lang w:eastAsia="ru-RU"/>
        </w:rPr>
        <w:t>Нормативные ссылки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В настоящем стандарте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использованынормативные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ссылки на следующие стандарты: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ГОСТ12.1.019-79 Система стандартов безопасности труда.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Электробезопасность.Общие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требования и номенклатура видов защиты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ГОСТ12.2.003-91 Система стандартов безопасности труда.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Оборудованиепроизводственное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. Общие требования безопасности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ГОСТ27.002-89 Надежность в технике. Основные понятия. Термины и определения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ГОСТ 2601-84Сварка металлов. Термины и определения основных понятий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ГОСТ16504-81 Система государственных испытаний продукции. Испытания 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контролькачества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продукции. Основные термины и определения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ГОСТ 20911-89Техническая диагностика. Термины и определения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ГОСТ 23829-85Контроль неразрушающий акустический. Термины и определения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ГОСТ 27655-88Акустическая эмиссия. Термины, определения и обозначения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Примечание</w:t>
      </w:r>
      <w:r w:rsidRPr="000832AF">
        <w:rPr>
          <w:rFonts w:eastAsia="Times New Roman" w:cs="Times New Roman"/>
          <w:szCs w:val="24"/>
          <w:lang w:eastAsia="ru-RU"/>
        </w:rPr>
        <w:t xml:space="preserve">: При пользовании </w:t>
      </w:r>
      <w:proofErr w:type="spellStart"/>
      <w:r w:rsidRPr="000832AF">
        <w:rPr>
          <w:rFonts w:eastAsia="Times New Roman" w:cs="Times New Roman"/>
          <w:szCs w:val="24"/>
          <w:lang w:eastAsia="ru-RU"/>
        </w:rPr>
        <w:t>настоящимстандартом</w:t>
      </w:r>
      <w:proofErr w:type="spellEnd"/>
      <w:r w:rsidRPr="000832AF">
        <w:rPr>
          <w:rFonts w:eastAsia="Times New Roman" w:cs="Times New Roman"/>
          <w:szCs w:val="24"/>
          <w:lang w:eastAsia="ru-RU"/>
        </w:rPr>
        <w:t xml:space="preserve"> целесообразно проверить действие ссылочных стандартов </w:t>
      </w:r>
      <w:proofErr w:type="spellStart"/>
      <w:r w:rsidRPr="000832AF">
        <w:rPr>
          <w:rFonts w:eastAsia="Times New Roman" w:cs="Times New Roman"/>
          <w:szCs w:val="24"/>
          <w:lang w:eastAsia="ru-RU"/>
        </w:rPr>
        <w:t>посоответствующему</w:t>
      </w:r>
      <w:proofErr w:type="spellEnd"/>
      <w:r w:rsidRPr="000832AF">
        <w:rPr>
          <w:rFonts w:eastAsia="Times New Roman" w:cs="Times New Roman"/>
          <w:szCs w:val="24"/>
          <w:lang w:eastAsia="ru-RU"/>
        </w:rPr>
        <w:t xml:space="preserve"> указателю стандартов, составленному по состоянию на 1 </w:t>
      </w:r>
      <w:proofErr w:type="spellStart"/>
      <w:r w:rsidRPr="000832AF">
        <w:rPr>
          <w:rFonts w:eastAsia="Times New Roman" w:cs="Times New Roman"/>
          <w:szCs w:val="24"/>
          <w:lang w:eastAsia="ru-RU"/>
        </w:rPr>
        <w:t>январятекущего</w:t>
      </w:r>
      <w:proofErr w:type="spellEnd"/>
      <w:r w:rsidRPr="000832AF">
        <w:rPr>
          <w:rFonts w:eastAsia="Times New Roman" w:cs="Times New Roman"/>
          <w:szCs w:val="24"/>
          <w:lang w:eastAsia="ru-RU"/>
        </w:rPr>
        <w:t xml:space="preserve"> года, и соответствующим информационным указателям, опубликованным </w:t>
      </w:r>
      <w:proofErr w:type="spellStart"/>
      <w:r w:rsidRPr="000832AF">
        <w:rPr>
          <w:rFonts w:eastAsia="Times New Roman" w:cs="Times New Roman"/>
          <w:szCs w:val="24"/>
          <w:lang w:eastAsia="ru-RU"/>
        </w:rPr>
        <w:t>втекущем</w:t>
      </w:r>
      <w:proofErr w:type="spellEnd"/>
      <w:r w:rsidRPr="000832AF">
        <w:rPr>
          <w:rFonts w:eastAsia="Times New Roman" w:cs="Times New Roman"/>
          <w:szCs w:val="24"/>
          <w:lang w:eastAsia="ru-RU"/>
        </w:rPr>
        <w:t xml:space="preserve"> году. Если ссылочный документ заменен (изменен), то при </w:t>
      </w:r>
      <w:proofErr w:type="spellStart"/>
      <w:r w:rsidRPr="000832AF">
        <w:rPr>
          <w:rFonts w:eastAsia="Times New Roman" w:cs="Times New Roman"/>
          <w:szCs w:val="24"/>
          <w:lang w:eastAsia="ru-RU"/>
        </w:rPr>
        <w:t>пользованиинастоящим</w:t>
      </w:r>
      <w:proofErr w:type="spellEnd"/>
      <w:r w:rsidRPr="000832AF">
        <w:rPr>
          <w:rFonts w:eastAsia="Times New Roman" w:cs="Times New Roman"/>
          <w:szCs w:val="24"/>
          <w:lang w:eastAsia="ru-RU"/>
        </w:rPr>
        <w:t xml:space="preserve"> стандартом следует руководствоваться замененным (измененным)документом. Если ссылочный документ отменен без замены, то положение, в </w:t>
      </w:r>
      <w:proofErr w:type="spellStart"/>
      <w:r w:rsidRPr="000832AF">
        <w:rPr>
          <w:rFonts w:eastAsia="Times New Roman" w:cs="Times New Roman"/>
          <w:szCs w:val="24"/>
          <w:lang w:eastAsia="ru-RU"/>
        </w:rPr>
        <w:t>которомдана</w:t>
      </w:r>
      <w:proofErr w:type="spellEnd"/>
      <w:r w:rsidRPr="000832AF">
        <w:rPr>
          <w:rFonts w:eastAsia="Times New Roman" w:cs="Times New Roman"/>
          <w:szCs w:val="24"/>
          <w:lang w:eastAsia="ru-RU"/>
        </w:rPr>
        <w:t xml:space="preserve"> ссылка на него, применяется в части, не затрагивающей эту ссылку.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3Термины и определения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В настоящем стандарте применены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терминыпо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 ГОСТ27.002, ГОСТ 2601, ГОСТ16504, ГОСТ 20911, ГОСТ </w:t>
      </w:r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23829,ГОСТ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27655,а также следующие термины с соответствующими определениями: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3.1 </w:t>
      </w:r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переход:</w:t>
      </w: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 Участок газопровода, пересекающий естественные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илиискусственные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препятствия (например, водные преграды, автомобильные 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железныедороги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).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Примечание</w:t>
      </w:r>
      <w:r w:rsidRPr="000832AF">
        <w:rPr>
          <w:rFonts w:eastAsia="Times New Roman" w:cs="Times New Roman"/>
          <w:szCs w:val="24"/>
          <w:lang w:eastAsia="ru-RU"/>
        </w:rPr>
        <w:t xml:space="preserve">: Различают надземный </w:t>
      </w:r>
      <w:proofErr w:type="spellStart"/>
      <w:proofErr w:type="gramStart"/>
      <w:r w:rsidRPr="000832AF">
        <w:rPr>
          <w:rFonts w:eastAsia="Times New Roman" w:cs="Times New Roman"/>
          <w:szCs w:val="24"/>
          <w:lang w:eastAsia="ru-RU"/>
        </w:rPr>
        <w:t>переход,т.е</w:t>
      </w:r>
      <w:proofErr w:type="spellEnd"/>
      <w:r w:rsidRPr="000832AF">
        <w:rPr>
          <w:rFonts w:eastAsia="Times New Roman" w:cs="Times New Roman"/>
          <w:szCs w:val="24"/>
          <w:lang w:eastAsia="ru-RU"/>
        </w:rPr>
        <w:t>.</w:t>
      </w:r>
      <w:proofErr w:type="gramEnd"/>
      <w:r w:rsidRPr="000832AF">
        <w:rPr>
          <w:rFonts w:eastAsia="Times New Roman" w:cs="Times New Roman"/>
          <w:szCs w:val="24"/>
          <w:lang w:eastAsia="ru-RU"/>
        </w:rPr>
        <w:t xml:space="preserve"> переход, сооружаемый над препятствием, и подземный переход, т.е. </w:t>
      </w:r>
      <w:proofErr w:type="spellStart"/>
      <w:r w:rsidRPr="000832AF">
        <w:rPr>
          <w:rFonts w:eastAsia="Times New Roman" w:cs="Times New Roman"/>
          <w:szCs w:val="24"/>
          <w:lang w:eastAsia="ru-RU"/>
        </w:rPr>
        <w:t>переход,сооружаемый</w:t>
      </w:r>
      <w:proofErr w:type="spellEnd"/>
      <w:r w:rsidRPr="000832AF">
        <w:rPr>
          <w:rFonts w:eastAsia="Times New Roman" w:cs="Times New Roman"/>
          <w:szCs w:val="24"/>
          <w:lang w:eastAsia="ru-RU"/>
        </w:rPr>
        <w:t xml:space="preserve"> под препятствием.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3.2 </w:t>
      </w:r>
      <w:proofErr w:type="spellStart"/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аттестованныйспециалист</w:t>
      </w:r>
      <w:proofErr w:type="spellEnd"/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:</w:t>
      </w: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 Лицо, прошедшее специальное обучение в соответствии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стребованиями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правил аттестации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специалистов</w:t>
      </w:r>
      <w:r w:rsidRPr="000832AF">
        <w:rPr>
          <w:rFonts w:eastAsia="Times New Roman" w:cs="Times New Roman"/>
          <w:szCs w:val="24"/>
          <w:u w:val="single"/>
          <w:bdr w:val="none" w:sz="0" w:space="0" w:color="auto" w:frame="1"/>
          <w:lang w:eastAsia="ru-RU"/>
        </w:rPr>
        <w:t>неразрушающего</w:t>
      </w:r>
      <w:proofErr w:type="spellEnd"/>
      <w:r w:rsidRPr="000832AF">
        <w:rPr>
          <w:rFonts w:eastAsia="Times New Roman" w:cs="Times New Roman"/>
          <w:szCs w:val="24"/>
          <w:u w:val="single"/>
          <w:bdr w:val="none" w:sz="0" w:space="0" w:color="auto" w:frame="1"/>
          <w:lang w:eastAsia="ru-RU"/>
        </w:rPr>
        <w:t xml:space="preserve"> контроля</w:t>
      </w: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успешновыдержавшее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квалификационные практические испытания и получившее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удостоверениеустановленнойформы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3.3 </w:t>
      </w:r>
      <w:proofErr w:type="spellStart"/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специалистакустико-эмиссионногоконтроля</w:t>
      </w:r>
      <w:proofErr w:type="spellEnd"/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:</w:t>
      </w: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 Аттестованный специалист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поконтролю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методом акустической эмиссии, проводящий акустико-эмиссионный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контрольперехода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газопровода.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3.4 </w:t>
      </w:r>
      <w:proofErr w:type="spellStart"/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визуальныйконтроль</w:t>
      </w:r>
      <w:proofErr w:type="spellEnd"/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:</w:t>
      </w: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 Органолептический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контроль,осуществляемый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органами зрения.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3.5 </w:t>
      </w:r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дефект:</w:t>
      </w: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 Каждое отдельное несоответствие продукции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требованиям,установленным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нормативной документацией.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3.6 </w:t>
      </w:r>
      <w:proofErr w:type="spellStart"/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синфазнаяпомеха</w:t>
      </w:r>
      <w:proofErr w:type="spellEnd"/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:</w:t>
      </w: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 Сигнал, регистрируемый различными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каналамиакустико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-эмиссионной аппаратуры одновременно.</w:t>
      </w:r>
    </w:p>
    <w:p w:rsidR="00064A41" w:rsidRPr="000832AF" w:rsidRDefault="00064A41" w:rsidP="00064A41">
      <w:pPr>
        <w:spacing w:line="360" w:lineRule="atLeast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bookmarkStart w:id="3" w:name="i37507"/>
      <w:r w:rsidRPr="000832AF">
        <w:rPr>
          <w:rFonts w:eastAsia="Times New Roman" w:cs="Times New Roman"/>
          <w:b/>
          <w:bCs/>
          <w:kern w:val="36"/>
          <w:sz w:val="30"/>
          <w:szCs w:val="30"/>
          <w:bdr w:val="none" w:sz="0" w:space="0" w:color="auto" w:frame="1"/>
          <w:lang w:eastAsia="ru-RU"/>
        </w:rPr>
        <w:t>4 Сокращения</w:t>
      </w:r>
      <w:bookmarkEnd w:id="3"/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В настоящем стандарте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использованыследующие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сокращения: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АЭ - акустическая эмиссия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АЭ-контроль - акустико-эмиссионный контроль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КС - компрессорная станция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МГ - магистральный газопровод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ПАЭ - преобразователь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акустическойэмиссии</w:t>
      </w:r>
      <w:proofErr w:type="spellEnd"/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ПУ - предварительный усилитель</w:t>
      </w:r>
    </w:p>
    <w:p w:rsidR="00064A41" w:rsidRPr="000832AF" w:rsidRDefault="00064A41" w:rsidP="00064A41">
      <w:pPr>
        <w:spacing w:line="360" w:lineRule="atLeast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bookmarkStart w:id="4" w:name="i42154"/>
      <w:r w:rsidRPr="000832AF">
        <w:rPr>
          <w:rFonts w:eastAsia="Times New Roman" w:cs="Times New Roman"/>
          <w:b/>
          <w:bCs/>
          <w:kern w:val="36"/>
          <w:sz w:val="30"/>
          <w:szCs w:val="30"/>
          <w:bdr w:val="none" w:sz="0" w:space="0" w:color="auto" w:frame="1"/>
          <w:lang w:eastAsia="ru-RU"/>
        </w:rPr>
        <w:lastRenderedPageBreak/>
        <w:t xml:space="preserve">5 Требования к организациям и специалистам, </w:t>
      </w:r>
      <w:proofErr w:type="spellStart"/>
      <w:r w:rsidRPr="000832AF">
        <w:rPr>
          <w:rFonts w:eastAsia="Times New Roman" w:cs="Times New Roman"/>
          <w:b/>
          <w:bCs/>
          <w:kern w:val="36"/>
          <w:sz w:val="30"/>
          <w:szCs w:val="30"/>
          <w:bdr w:val="none" w:sz="0" w:space="0" w:color="auto" w:frame="1"/>
          <w:lang w:eastAsia="ru-RU"/>
        </w:rPr>
        <w:t>проводящимакустико</w:t>
      </w:r>
      <w:proofErr w:type="spellEnd"/>
      <w:r w:rsidRPr="000832AF">
        <w:rPr>
          <w:rFonts w:eastAsia="Times New Roman" w:cs="Times New Roman"/>
          <w:b/>
          <w:bCs/>
          <w:kern w:val="36"/>
          <w:sz w:val="30"/>
          <w:szCs w:val="30"/>
          <w:bdr w:val="none" w:sz="0" w:space="0" w:color="auto" w:frame="1"/>
          <w:lang w:eastAsia="ru-RU"/>
        </w:rPr>
        <w:t>-эмиссионный контроль</w:t>
      </w:r>
      <w:bookmarkEnd w:id="4"/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5.1 АЭ-контроль по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настоящемустандарту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может проводить организация, имеющая лабораторию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неразрушаюшегоконтроля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(далее также лаборатория) с правом проведения работ по АЭ-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контролю,аттестованную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 соответствии с ПБ03-372-00 [1].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5.2 Лаборатория должна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бытьукомплектована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аттестованными специалистами </w:t>
      </w:r>
      <w:r w:rsidRPr="000832AF">
        <w:rPr>
          <w:rFonts w:eastAsia="Times New Roman" w:cs="Times New Roman"/>
          <w:szCs w:val="24"/>
          <w:u w:val="single"/>
          <w:bdr w:val="none" w:sz="0" w:space="0" w:color="auto" w:frame="1"/>
          <w:lang w:eastAsia="ru-RU"/>
        </w:rPr>
        <w:t>неразрушающего контроля</w:t>
      </w: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обеспеченанеобходимой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нормативной документацией, оснащена поверенными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средствамиизмерений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 аттестованным испытательным оборудованием.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5.3 АЭ-контроль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переходовгазопроводов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через препятствия, обработку и оценку результатов должны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проводитьлица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имеющие квалификационный уровень по контролю методом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акустическойэмиссии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соответствующее квалификационное удостоверение,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удостоверениеРостехнадзора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о проверке знаний правил безопасности и практический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опытконтроля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с использованием метода АЭ. Контроль переходов газопроводов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черезпрепятствия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должны проводить не менее чем два аттестованных специалиста, из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нихпо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крайней мере один должен иметь II или III уровень квалификации по АЭ-методу контроля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всоответствии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 ПБ03-440-02 [2</w:t>
      </w:r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],РД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03-379-00 [3].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5.4 Заключение по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результатамАЭ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-контроля переходов газопроводов через препятствия могут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выдаватьаттестованные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специалисты, имеющие квалификацию по контролю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методомакустической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эмиссии не ниже II уровня.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5.5 Персонал,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проводящийАЭ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-контроль переходов газопроводов через препятствия, должен знать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настоящийстандарт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 выполнять его требования.</w:t>
      </w:r>
    </w:p>
    <w:p w:rsidR="00064A41" w:rsidRPr="000832AF" w:rsidRDefault="00064A41" w:rsidP="00064A41">
      <w:pPr>
        <w:spacing w:line="360" w:lineRule="atLeast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bookmarkStart w:id="5" w:name="i54576"/>
      <w:r w:rsidRPr="000832AF">
        <w:rPr>
          <w:rFonts w:eastAsia="Times New Roman" w:cs="Times New Roman"/>
          <w:b/>
          <w:bCs/>
          <w:kern w:val="36"/>
          <w:sz w:val="30"/>
          <w:szCs w:val="30"/>
          <w:bdr w:val="none" w:sz="0" w:space="0" w:color="auto" w:frame="1"/>
          <w:lang w:eastAsia="ru-RU"/>
        </w:rPr>
        <w:t>6 Требования к аппаратуре</w:t>
      </w:r>
      <w:bookmarkEnd w:id="5"/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6.1 Для АЭ-контроля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переходовгазопроводов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следует использовать многоканальную акустико-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эмиссионнуюаппаратуру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. Количество каналов акустико-эмиссионной аппаратуры зависит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отразмеров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перехода, степени ослабления упругих, волн и должно быть не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менеевосьми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6.2 Акустико-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эмиссионнаяаппаратура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применяемая для АЭ-контроля переходов газопроводов,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должнаудовлетворять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требованиям PД 03-299-99[</w:t>
      </w:r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4]к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аппаратуре первого класса.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6.3 Акустико-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эмиссионнаяаппаратура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используемая для реализации данной методики, должна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бытьметрологически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поверена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 установленном порядке и внесена 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Государственныйреестр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средств измерения.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6.4 Минимальные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техническиехарактеристики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акустико-эмиссионной аппаратуры: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производительность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аппаратурыболее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4000 событий в секунду на канал;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входные низкочастотные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ивысокочастотные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фильтры высокого порядка, не менее 24 дБ/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окт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 аналого-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цифровойпреобразователь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(АЦП) не менее чем 16-битный с частотой квантования не менее 5МГц на каждый канал;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аппаратное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вычислениеэнергии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акустико-эмиссионного сигнала в реальном масштабе времени;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наличие каналов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цифровогоосциллографа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наличие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дополнительныхпараметрических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входов для подключения датчиков давления, температуры и т.д.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6.5 Минимальные требования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кпрограммному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обеспечению: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программное обеспечение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всреде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 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Windows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 98/2000/XP;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многооконный интерфейс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дляграфического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 текстового представления полученных данных на экране монитора вовремя контроля и в процессе дальнейшей обработки данных АЭ;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lastRenderedPageBreak/>
        <w:t xml:space="preserve">- удобное управляющее меню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дляустановки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параметров графического 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отображения:выбор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цветов, автоматическое/фиксированное масштабирование осей,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отображениелиниями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/точками, настройка сетки и т.д.;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предварительная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фильтрацияданных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АЭ;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фильтрация данных АЭ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полюбому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параметру;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локация дефектов: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линейная,планарная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встроенные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утилитыавтоматического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измерения скорости АЭ-сигналов и затухания в среде;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совместимость текстового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играфического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представления данных с другими 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Windows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-приложениями.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6.6 Преобразователи A3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должныбыть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первого класса согласно РД03-300-99 [5</w:t>
      </w:r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].Рекомендуется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использовать ПАЭ с рабочими частотами до 200 кГц.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6.7 ПАЭ в соответствии с РД03-300-99 [</w:t>
      </w:r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5]должны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иметь сертификаты калибровки.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6.8 ПАЭ должны быть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оснащенымагнитными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держателями, обеспечивающими постоянный прижим и устойчивый контакт.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6.9 Контакт ОАЭ с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материаломобъекта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для понижения потерь, связанных с трансформацией ультразвуковых волн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награницах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двух сред, должен осуществляться с помощью контактной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среды.Рекомендуется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применение следующих контактных сред: литол-24, ЦИАТИМ,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солидол,вазелин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, эпоксидная смола без отвердителя и другие.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6.10 </w:t>
      </w:r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комплект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оборудованиядля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проведения АЭ-контроля должен входить имитатор сигналов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акустическойэмиссии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(электронный; электронный, встроенный, в акустико-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эмиссионнуюаппаратуру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; источник Су-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Нильсена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).</w:t>
      </w:r>
    </w:p>
    <w:p w:rsidR="00064A41" w:rsidRPr="000832AF" w:rsidRDefault="00064A41" w:rsidP="00064A41">
      <w:pPr>
        <w:spacing w:line="360" w:lineRule="atLeast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bookmarkStart w:id="6" w:name="i65520"/>
      <w:r w:rsidRPr="000832AF">
        <w:rPr>
          <w:rFonts w:eastAsia="Times New Roman" w:cs="Times New Roman"/>
          <w:b/>
          <w:bCs/>
          <w:kern w:val="36"/>
          <w:sz w:val="30"/>
          <w:szCs w:val="30"/>
          <w:bdr w:val="none" w:sz="0" w:space="0" w:color="auto" w:frame="1"/>
          <w:lang w:eastAsia="ru-RU"/>
        </w:rPr>
        <w:t>7 Проведение акустико-эмиссионного контроля</w:t>
      </w:r>
      <w:bookmarkEnd w:id="6"/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 Настоящий </w:t>
      </w:r>
      <w:r w:rsidR="009A3B2A"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раздел определяет</w:t>
      </w: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порядок проведения акустико-эмиссионного контроля переходов МП </w:t>
      </w:r>
      <w:r w:rsidR="009A3B2A"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Общие требования</w:t>
      </w: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 к 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организацииАЭ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-контроля приведены в ПБ03-593-03 [6].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7.2 Периодичность проведения АЭ-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контроляперехода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МГ устанавливается индивидуально для каждого перехода в зависимости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оттипа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перехода, характеристик грунта, а также, для переходов М Г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черезавтомобильные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 железные дороги, от категории дорог и интенсивности движения.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7.3 Работу по АЭ-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контролюперехода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МГ необходимо проводить по следующим этапам: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составление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программыпроведения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работ по АЭ-контролю (далее также программа работ);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анализ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техническойдокументации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выбор мест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шурфовки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проведение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подготовительныхмероприятий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проведение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визуальногоконтроля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 калибровка аппаратуры;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 расстановка ПАЭ;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объединение ПАЭ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влокационные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группы;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проверка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работоспособностиаппаратуры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нагружение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перехода МГ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исбор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данных;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оценка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результатовАЭ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-контроля;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документальное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оформлениерезультатов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АЭ-контроля.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7.4 Составление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программыпроведения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работ по АЭ-контролю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7.4.1 Перед проведением АЭ-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контроляорганизация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проводящая АЭ-контроль перехода МГ, должна разработать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программупроведения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работ по АЭ-контролю согласно требованиям технического задания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исогласовать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ее с организацией, эксплуатирующей газопровод.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7.4.2 Для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составленияпрограммы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работ организация, эксплуатирующая газопровод, должна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представитьследующую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информацию: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наименование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объектадиагностирования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lastRenderedPageBreak/>
        <w:t xml:space="preserve">- схему перехода с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указаниемдиаметра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газопровода, величин допускаемого и расчетного давлений;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перечень участков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перехода,на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которых имели место утечки с указанием координат утечек;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 график нагружения перехода;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перечень 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координатыучастков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перехода с недостаточной защищенностью от наружной коррозии;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перечень сварочных швов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напереходе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7.4.3 Акустико-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эмиссионныйконтроль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должен выполняться в соответствии с разработанной программой работ,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7.5 Анализ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техническойдокументации</w:t>
      </w:r>
      <w:proofErr w:type="spellEnd"/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7.5.1 Выполнению работ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поАЭ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-контролю должен предшествовать анализ конструктивных особенностей МГ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иусловий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эксплуатации с целью предварительной оценки технического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состояниягазопровода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 определения потенциально опасных участков перехода газопровода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ивидов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повреждений, которые могут возникать в процессе эксплуатации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взависимости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от типа и величии нагрузок, действующих на конструкцию,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7.5.2 Рассмотрению подлежат: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технические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характеристикигазопровода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(паспортные данные);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 дата ввода в эксплуатацию;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проводимые ранее испытания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иих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результаты;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 режимы работы (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рабочеедавление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, температура) и их отклонения от расчетных значений;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виды проводимых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ранееремонтных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работ;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конструктивные 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техническиеособенности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газопровода.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7.6 Выбор мест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шурфовки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наконтролируемом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переходе МГ через препятствие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7.6.1 Места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шурфовки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для переходов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МГчерез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небольшие (от 50 до 80 </w:t>
      </w:r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м)водные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преграды следует выбирать с каждой стороны водной преграды (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речки,ручья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) в количестве не менее двух. По одному месту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шурфовки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необходимо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выбратьнепосредственно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на урезе перехода, что обеспечивает обнаружение дефектов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врусловой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части перехода. Далее от преграды необходимо выбрать еще по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одномуместу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шурфовки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что обеспечивает обнаружение дефектов на прибрежном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участкеперехода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МГ, свободного от защитного футляра, и распознавание ложных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сигналов,поступающих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извне. Рекомендуется назначить дополнительные сторожевые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шурфычерез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 50 мот шурфов, расположенных в непосредственной близости к берегу водной преграды.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7.6.2 Места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шурфовки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для переходов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МГчерез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автомобильные дороги первой и второй категорий, а также через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железныедороги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следует выбирать с каждой стороны дороги в количестве не менее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двух.Количество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шурфов выбирается исходя из ширины охранной зоны МГ. Ближние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кобочине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дороги шурфы необходимо выбирать с двух сторон в месте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окончаниязащитного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кожуха, последующие - через расстояние не более чем50м от первых двух и далее в обе стороны МГ.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7.7 Проведение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подготовительныхмероприятий</w:t>
      </w:r>
      <w:proofErr w:type="spellEnd"/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7.7.1 Организация,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проводящаяАЭ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-контроль перехода газопровода, обязана предоставить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организации,эксплуатирующей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газопровод: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схему расстановки ПАЭ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наобъекте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(для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шурфовки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 зачистки указанных мест);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 указания по действиям оператора, осуществляющего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нагружениеперехода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МГ.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7.7.2 Перед началом АЭ-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контроляорганизация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эксплуатирующая газопровод, должна выполнить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следующиемероприятия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: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выполнить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шурфовку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выбранныхмест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удалить часть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изоляционногопокрытия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 произвести зачистку МГ в шурфе;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подготовить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переходгазопровода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к контролю;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предоставить помещение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дляразмещения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акустико-эмиссионной аппаратуры; при невозможности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предоставитьпомещение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- предоставить грузовой автомобиль с оборудованным «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кунгом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»;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lastRenderedPageBreak/>
        <w:t xml:space="preserve">-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обеспечитьакустико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-эмиссионную аппаратуру электропитанием;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провести имитацию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нагруженияперехода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газопровода;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обеспечить надежную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связьмежду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специалистом АЭ-контроля и оператором, осуществляющим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нагружение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переходаМГ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7.7.3 Контролируемый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переходМГ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должен быть отсоединен от примыкающих газопроводов.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7.7.4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Щурфовка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проводится,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какправило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экскаватором, затем готовится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полнопрофильный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шурф длиной от 1 до 2м ручным способом до верхней образующей газопровода.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7.7.5 Ближние шурфы с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обеихсторон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водной преграды следует готовить непосредственно перед АЭ-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контролемперехода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МГ, чтобы избежать «заплывания» шурфа.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7.7.6 Изоляционное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покрытиегазопровода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требуется уладить с верхней части трубы МГ либо в удобном месте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впределах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от 9 до 3 часов часовой стрелки по ходу газа. Размер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участкаизоляционного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покрытия, подлежащего удалению, составляет 100×100 мм.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7.7.7 После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удаленияизоляционного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покрытия поверхность трубы следует зачистить до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величинышероховатости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 </w:t>
      </w:r>
      <w:r w:rsidRPr="000832AF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R</w:t>
      </w:r>
      <w:r w:rsidRPr="000832AF">
        <w:rPr>
          <w:rFonts w:eastAsia="Times New Roman" w:cs="Times New Roman"/>
          <w:i/>
          <w:iCs/>
          <w:sz w:val="18"/>
          <w:szCs w:val="18"/>
          <w:bdr w:val="none" w:sz="0" w:space="0" w:color="auto" w:frame="1"/>
          <w:vertAlign w:val="subscript"/>
          <w:lang w:eastAsia="ru-RU"/>
        </w:rPr>
        <w:t>z</w:t>
      </w:r>
      <w:r w:rsidRPr="000832AF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40</w:t>
      </w: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 и обезжирить.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7.7.8 Допуск персонала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кобъекту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должен осуществляться в соответствии с требованиями правил допуска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вкаждой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конкретной ситуации.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7.7.9 Должна быть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разработанаи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согласована программа действий персонала в случае аварийных ситуаций.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7.8 Визуальный контроль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7.8.1 </w:t>
      </w:r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шурфах, отрытых для установки ПАЭ,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необходимопровести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визуальный контроль,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7.8.2 </w:t>
      </w:r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ходе визуального контроля следует оценить: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внешнее состояние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переходаМГ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 наличие отклонений от проекта;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наличие внешних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механическихповреждений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изоляционного покрытия и металла трубы в пределах шурфов;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состояние арматуры (при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ееналичии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на переходе МГ);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конструктивные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особенности,влияющие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на работоспособность МГ.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7.9 Калибровка аппаратуры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7.9.1 Калибровку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аппаратурыследует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провести с целью определения параметров акустико-эмиссионной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аппаратурыдля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работы на данном переходе МГ.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7.9.2 Калибровка включает: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оценку уровня и характера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внешнихшумов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установку параметров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каналовакустика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-эмиссионной аппаратуры;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определение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акустическихсвойств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перехода МГ.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7.9.3 Перед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проведениемАЭ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-контроля перехода МГ необходимо оценить уровень посторонних шумов и помех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и,по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возможности, устранить либо минимизировать его.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7.9.4 Средняя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частотарегистрации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импульсных помех не должна превышать 0,1 Гц.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7.9.5 Уровень акустических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шумовоценивается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как правило, при давлении, составляющем 50 % от рабочего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давления.Уровень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непрерывных шумов должен быть не менее чем на 6 дБ ниже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среднейамплитуды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сигналов AЭ от имитатора, установленного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всамой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удаленной точке зоны контроля данным ПАЭ.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7.9.6 Отстройку от шумов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следуетпроизводить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путем выбора порога дискриминации или установкой частот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срезафильтров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высокой и низкой частоты, если такая возможность заложена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вакустико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-эмиссионную аппаратуру. Рекомендуемый диапазон частот составляет от 30до 250 кГц.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7.9.7 </w:t>
      </w:r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случае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невозможностивыполнения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вышеперечисленных ограничений по уровню шумов и помех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необходимоотказаться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от АЭ-контроля перехода МГ либо перенести его проведение на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другоевремя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7.9.8 Перед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проведениемАЭ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-контроля необходимо установить параметры настройки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каналовакустико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-эмиссионной аппаратуры. Перечень параметров и их конкретные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lastRenderedPageBreak/>
        <w:t>значениязависят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от типа используемой аппаратуры, типа ПАЭ и характеристик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акустическогоканала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7.9.9 Значения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пороговыхуровней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амплитудной дискриминации должны быть выше уровня акустических </w:t>
      </w:r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шумов(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рекомендуется от 6 до 10 дБ), ноне менее чем на 6 дБ ниже уровня сигналов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АЭот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имитатора, установленного в самой удаленной точке области контроля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даннымПАЭ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7.9.10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Рекомендуетсяустанавливать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равные значения порога дискриминации для всех каналов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содинаковыми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типами ПАЭ.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7.9.11 При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использовании«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плавающего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порога необходимо ограничить его уровень так, чтобы он не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превышалмаксимальное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значение в 55 дБ.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7.9.12 Значения временных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параметровнастройки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акустико-эмиссионных каналов зависит от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конкретнойакустико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-эмиссионной аппаратуры, рабочей полосы частот, типа используемых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ПАЭ,расстояния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между ПАЭ и степени затухания упругих волн. Рекомендуется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выбиратьзначения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настройки временных параметров каналов в соответствии с таблицей 1.Для получения конкретных значений следует воспользоваться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источникомСу-Нильсена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. Электронные имитаторы с резонансными ПАЭ в данном случае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применятьне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рекомендуется.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Таблица 1 - Ориентировочные значения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временныхпараметров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каналов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2452"/>
        <w:gridCol w:w="1982"/>
      </w:tblGrid>
      <w:tr w:rsidR="000832AF" w:rsidRPr="000832AF" w:rsidTr="00064A41">
        <w:trPr>
          <w:jc w:val="center"/>
        </w:trPr>
        <w:tc>
          <w:tcPr>
            <w:tcW w:w="2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Временной параметр</w:t>
            </w:r>
          </w:p>
        </w:tc>
        <w:tc>
          <w:tcPr>
            <w:tcW w:w="2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 xml:space="preserve">Значение параметра, </w:t>
            </w:r>
            <w:proofErr w:type="spellStart"/>
            <w:r w:rsidRPr="000832AF">
              <w:rPr>
                <w:rFonts w:eastAsia="Times New Roman" w:cs="Times New Roman"/>
                <w:szCs w:val="24"/>
                <w:lang w:eastAsia="ru-RU"/>
              </w:rPr>
              <w:t>мкс</w:t>
            </w:r>
            <w:proofErr w:type="spellEnd"/>
          </w:p>
        </w:tc>
      </w:tr>
      <w:tr w:rsidR="000832AF" w:rsidRPr="000832AF" w:rsidTr="00064A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пневматическое нагружен не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 xml:space="preserve">гидравлическое </w:t>
            </w:r>
            <w:proofErr w:type="spellStart"/>
            <w:r w:rsidRPr="000832AF">
              <w:rPr>
                <w:rFonts w:eastAsia="Times New Roman" w:cs="Times New Roman"/>
                <w:szCs w:val="24"/>
                <w:lang w:eastAsia="ru-RU"/>
              </w:rPr>
              <w:t>нагружение</w:t>
            </w:r>
            <w:proofErr w:type="spellEnd"/>
          </w:p>
        </w:tc>
      </w:tr>
      <w:tr w:rsidR="000832AF" w:rsidRPr="000832AF" w:rsidTr="00064A41">
        <w:trPr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Интервал определения пика амплитуды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500-1000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0832AF" w:rsidRPr="000832AF" w:rsidTr="00064A41">
        <w:trPr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Интервал определения длительности сигнала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500-1000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200-300</w:t>
            </w:r>
          </w:p>
        </w:tc>
      </w:tr>
      <w:tr w:rsidR="000832AF" w:rsidRPr="000832AF" w:rsidTr="00064A41">
        <w:trPr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Интервал блокировки акустико-эмиссионного канала («мертвое время»)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100-1000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7000-7500</w:t>
            </w:r>
          </w:p>
        </w:tc>
      </w:tr>
      <w:tr w:rsidR="000832AF" w:rsidRPr="000832AF" w:rsidTr="00064A41">
        <w:trPr>
          <w:jc w:val="center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Максимальная длительность</w:t>
            </w:r>
          </w:p>
        </w:tc>
        <w:tc>
          <w:tcPr>
            <w:tcW w:w="2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32000 и более</w:t>
            </w:r>
          </w:p>
        </w:tc>
      </w:tr>
    </w:tbl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7.9.11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Передпроведением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АЭ-контроля перехода МГ необходимо провести измерение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скоростираспространения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 коэффициента затухания упругих волн в стенках трубы.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7.9.12 Измерения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скоростираспространения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 среднего значения коэффициента затухания упругих волн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следуетпроизводить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 помощью двух ПАЭ, установленных на поверхность трубы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вдольобразующей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. Имитатор АЭ-сигналов устанавливается на прямой линии с ПАЭ,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заодним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из них.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7.9.13 При измерении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скоростираспространения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 коэффициента затухания упругих волн параметры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настройкиакустико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-эмиссионных каналов следует устанавливать такие же, как 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припроведении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АЭ-контроля, и размешать преобразователи примерно на том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жерасстоянии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, что и при проведении АЭ-контроля.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7.9.14 Определение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скоростираспространения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упругих волн должно производиться не менее чем по пяти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сигналамот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имитатора АЭ. Рекомендуется определять скорость на нескольких </w:t>
      </w:r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базах(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расстояниях между ПАЭ), так как на небольших расстояниях возможна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регистрациямод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 более высокими скоростями.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7.9.15 Значение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затуханияупругих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волн в материале трубы должно определяться для каждого перехода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МГиндивидуально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путем построения кривой затухания.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7.9.16 Для построения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кривойзатухания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должно производиться не менее пяти имитаций АЭ в каждой точке,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количествоточек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- не менее трех. Значения амплитуд для каждой точки усредняются.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Пополученным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значениям строится график зависимости амплитуды от расстояния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междуПАЭ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 имитатором АЭ.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7.10 Расстановка ПАЭ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7.10.1 После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проведениякалибровки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определения скорости и затухания упругих волн необходимо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составитьиндивидуальную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схему расстановки ПАЭ на переходе МГ исходя из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конструктивныхособенностей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перехода МГ.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7.10.2 На поверхность трубы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вподготовленной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к контролю зоне в месте установки ПАЭ должна быть нанесена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контактнаясреда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lastRenderedPageBreak/>
        <w:t xml:space="preserve">7.10.3 На контактную среду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спомощью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магнитных прижимов следует установить ПАЭ.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7.10.4 ПАЭ должны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бытьсоединены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 предварительными усилителями экранированными кабелями.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7.10.5 ПУ должны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бытьсоединены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 акустико-эмиссионной аппаратурой посредством кабельных линий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илирадиоканала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7.11 Объединение ПАЭ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влокационные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группы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7.11.1 Для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определениякоординат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источников АЭ установленные ПАЭ должны быть объединены 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локационныегруппы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7.11.2 При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проведенииАЭ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-контроля перехода МГ установленные ПАЭ могут быть объединены 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следующиелокационные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группы: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 линейная локация;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 зонная локация.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7.11.3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Допускаетсяиспользовать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один и тот же ПАЭ в разных локационных группах. Не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допускаетсяиспользовать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ПАЭ различных типов в одной локационной группе.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7.11.4 Рекомендуется объединять ПАЭ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влинейную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локационную антенну, состоящую из четырех каналов, из которых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двацентральных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являются измерительными, а два крайних - сторожевыми, служащими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дляотсечения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помех на контролируемом переходе МГ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7.11.5 Допускается использовать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зоннуюлокацию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 случае невозможности объединения ПАЭ в линейную локационную антенну.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7.12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Проверкаработоспособности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акустико-эмиссионной аппаратуры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7.12.1 Перед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проведениемАЭ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-контроля перехода МГ; после установки ПАЭ, подключения кабельных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линийсвязи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ПУ и настройки программного обеспечения необходимо провести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проверкуработоспособности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каналов акустико-эмиссионной аппаратуры. Для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этогопроизводится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запуск аппаратуры на сбор данных с регистрацией значения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амплитудыи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других параметров сигналов AЭ. Далее проводится имитация сигналов АЭ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возлекаждого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ПАЭ.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7.12.2 Значения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регистрируемойамплитуды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сигналов АЭ от имитатора по всем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акусти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-ко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-эмиссионным каналам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содинаковыми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типами ПАЭ не должны различаться более чем на ±3 дБ, Если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этоусловие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не выполняется, то необходимо выяснить причину (плохая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подготовкаповерхности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неудовлетворительная контактная среда, недостаточное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усилиеприжима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неисправный ПАЭ, неисправный ПУ, неисправный электронный тракт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каналаи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т.д.) и устранить ее.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7.12.3 Для проверки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точностилокации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источников АЭ 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рекомендуетсяпроводить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имитацию сигналов АЭ около сварных швов, особенно 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местахпересечения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кольцевых и продольных швов.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7.12.4 Координаты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источниковАЭ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вычисленные акустико-эмиссионной аппаратурой, необходимо сравнить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систинными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координатами имитатора, измеренными рулеткой. Для применения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линейнойлокации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ошибка определения координат должна составлять не более ±5 % от максимального расстояния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междупреобразователями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 используемой локационной схеме. Если ошибка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больше,необходимо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принять меры по увеличению точности (уточнение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скоростираспространения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временных параметров, перестановка ПАЭ и т.д.)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либоиспользовать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зонную локацию.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7.13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Нагружение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МГ на переходе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7.13.1 Порядок и последовательность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нагруженияперехода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МГ определяются программой проведения работ по АЭ-контролю. Всевозможные отклонения от согласованного графика нагружения должны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бытьобоснованы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а также должна быть показана эквивалентность используемого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виданагружения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типовому.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7.13.2 Следует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использоватьпневматическое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нагружение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МГ. Гидравлическое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нагружение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может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применятьсятолько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 виде исключения и требует обоснования.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7.13.3 При нагружении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переходаМГ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не находящегося в эксплуатации на момент контроля, необходимо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превыситьрабочее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давление не менее чем на 5 %, но не более чем </w:t>
      </w: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lastRenderedPageBreak/>
        <w:t xml:space="preserve">на 25 %. Рекомендуется нагружать переход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МГдо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величины испытательного давления, находящейся в диапазоне от 10 % до 25 %выше рабочего давления.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7.13.4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Нагружение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этомслучае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производят в соответствии с требованиями ПБ03-593-03 [6].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7.13.5 Подъем давления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отрабочего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до испытательного рекомендуется проводить в несколько этапов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спромежуточными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выдержками при постоянном давлении.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Нагружение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проводится до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максимальногодавления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для каждого этапа, затем производится промежуточная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выдержкадлительностью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от 10 до 15 минут. В таблице 2 приведены значения коэффициента </w:t>
      </w:r>
      <w:proofErr w:type="spellStart"/>
      <w:r w:rsidRPr="000832AF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Р</w:t>
      </w:r>
      <w:r w:rsidRPr="000832AF">
        <w:rPr>
          <w:rFonts w:eastAsia="Times New Roman" w:cs="Times New Roman"/>
          <w:i/>
          <w:iCs/>
          <w:sz w:val="18"/>
          <w:szCs w:val="18"/>
          <w:bdr w:val="none" w:sz="0" w:space="0" w:color="auto" w:frame="1"/>
          <w:vertAlign w:val="subscript"/>
          <w:lang w:eastAsia="ru-RU"/>
        </w:rPr>
        <w:t>max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 равного отношению максимального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давления,достигаемого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при каждом этапе АЭ-контроля, к рабочему давлению на переходе МГ.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Таблица 2 - Порядок нагружения при поэтапном контроле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358"/>
        <w:gridCol w:w="2359"/>
        <w:gridCol w:w="2359"/>
      </w:tblGrid>
      <w:tr w:rsidR="000832AF" w:rsidRPr="000832AF" w:rsidTr="00064A41">
        <w:trPr>
          <w:jc w:val="center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Количество этапов</w:t>
            </w:r>
          </w:p>
        </w:tc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32AF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0832AF">
              <w:rPr>
                <w:rFonts w:eastAsia="Times New Roman" w:cs="Times New Roman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max</w:t>
            </w:r>
            <w:proofErr w:type="spellEnd"/>
            <w:r w:rsidRPr="000832AF">
              <w:rPr>
                <w:rFonts w:eastAsia="Times New Roman" w:cs="Times New Roman"/>
                <w:szCs w:val="24"/>
                <w:lang w:eastAsia="ru-RU"/>
              </w:rPr>
              <w:t> при этапе</w:t>
            </w:r>
          </w:p>
        </w:tc>
      </w:tr>
      <w:tr w:rsidR="000832AF" w:rsidRPr="000832AF" w:rsidTr="00064A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0832AF" w:rsidRPr="000832AF" w:rsidTr="00064A41">
        <w:trPr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1,1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1,25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0832AF" w:rsidRPr="000832AF" w:rsidTr="00064A41">
        <w:trPr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1,07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1,15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1,25</w:t>
            </w:r>
          </w:p>
        </w:tc>
      </w:tr>
    </w:tbl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7.13.6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Скоростьнагружения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перехода М Г не должна превышать величину, равную 10 % от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значениярабочего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давления в минуту.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7.13.7 Если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скоростьнагружения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не превышает величину, равную 2 % от значения рабочего давления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вминуту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и уровень шумов при нагружении обеспечивает уверенную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регистрациюисточников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A3, допускается не проводить промежуточные выдержки,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7.13.8 При наличии сомнений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врезультатах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АЭ-контроля допускается провести дополнительное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нагружение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максимальногодавления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. При этом максимальное давление при поэтапном контроле не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должнопревышать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значений, указанных в таблице 2 для данного этапа. При контроле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водин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этап максимальное давление не должно превышать величину равную 1,25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отзначения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рабочего давления.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7.13.9 АЭ-контроль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переходовМГ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через преграды для действующих газопроводов возможен путем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изменениядавления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 МГ двумя способами: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подъем давления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сверхрабочего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снижение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давленияотносительно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рабочего и подъем до рабочего.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7.13.10 При наличии возможности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следуетосуществлять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подъем давления на величину от 5 % до 10 % от значения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рабочегодавления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путем увеличения выходного давления газа в МГ на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ближайшейкомпрессорной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станции. Регистрирование сигналов АЭ в МГ на переходе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должнопроводиться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через определенное время, равное отношению расстояния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докомпрессорной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станции к скорости распространения упругих волн.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Значениеуказанного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времени может находиться в интервале от нескольких секунд до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десятиминут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. Подъем давления на КС рекомендуется проводить с одной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промежуточнойвыдержкой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длительностью от 5 до 10 минут. При таком испытании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действияперсонала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КС должны быть согласованы и синхронизированы с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действиямиспециалиста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АЭ-контроля. Скорость подъема давления в МГ также не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должнапревышать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величину, равную 10 % от значения рабочего давления в минуту.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7.13.11 В случае невозможности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подъемадавления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на КС выше рабочего давления изменение давления следует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проводитьпутем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снижения давления от рабочего до величины, находящейся в диапазоне от 0,9до 0,95 от значения рабочего давления, и последующего подъема его снова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дорабочего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давления- Данную процедуру необходимо повторить от трех до пяти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раз.Скорость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изменения давления в МГ также не должна превышать величину, равную 10% от значения рабочего давления в минуту. При изменении давления этим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способомэффективность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выявления дефектов на переходе ниже, чем при предыдущем.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7.13.12 Допускается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проведениеАЭ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-контроля перехода МГ в рабочем режиме (проведение мониторинга)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приразработке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 обосновании соответствующей программы нагружения газопровода.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7.14 Сбор данных при АЭ-контроле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lastRenderedPageBreak/>
        <w:t>7.14.1 Сбор данных АЭ-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контролянеобходимо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проводить во время всего никла нагружения.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7.14.2 Во время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проведенияАЭ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-контроля должна быть установлена постоянная визуальная, радио или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телефоннаясвязь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 персоналом, осуществляющим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нагружение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перехода МГ.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СпециалистыАЭ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-контроля должны регистрировать изменение давления в трубе и наблюдать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ходсбора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данных. Персонал, осуществляющий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нагружение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перехода МГ, должен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выполнятьуказания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специалистов АЭ-контроля по изменению давления в газопроводе.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7.14.3 Во время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проведенияАЭ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-контроля перехода МГ необходимо отмечать и регистрировать изменения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вшумовой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обстановке, активности акустико-эмиссионных каналов, погодных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условиях,а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также следует наблюдать за графиками изменения параметров АЭ-сигналов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иотмечать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информацию, способную помочь при обработке и оценке собранных данных.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7.14.4 </w:t>
      </w:r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случае регистрации вовремя проведения АЭ-контроля источников акустических шумов, не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выявленныхранее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должны быть приняты меры по их устранению. В это время сбор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данныхнеобходимо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временно приостановить, 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нагружение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прервать. При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длительнойостановке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рекомендуется перед последующим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нагружением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частично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сброситьдавление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на контролируемом переходе МГ.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7.14.5 </w:t>
      </w:r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течение всего времени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сбораданных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при АЭ-контроле следует проводить первичную обработку 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оценкурезультатов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 соответствии с разделом 8.</w:t>
      </w:r>
    </w:p>
    <w:p w:rsidR="00064A41" w:rsidRPr="000832AF" w:rsidRDefault="00064A41" w:rsidP="00064A41">
      <w:pPr>
        <w:spacing w:line="360" w:lineRule="atLeast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bookmarkStart w:id="7" w:name="i74367"/>
      <w:r w:rsidRPr="000832AF">
        <w:rPr>
          <w:rFonts w:eastAsia="Times New Roman" w:cs="Times New Roman"/>
          <w:b/>
          <w:bCs/>
          <w:kern w:val="36"/>
          <w:sz w:val="30"/>
          <w:szCs w:val="30"/>
          <w:bdr w:val="none" w:sz="0" w:space="0" w:color="auto" w:frame="1"/>
          <w:lang w:eastAsia="ru-RU"/>
        </w:rPr>
        <w:t>8 Оценка результатов акустико-эмиссионного контроля</w:t>
      </w:r>
      <w:bookmarkEnd w:id="7"/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8.1 Первичная обработка 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опенкарезультатов</w:t>
      </w:r>
      <w:proofErr w:type="spellEnd"/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8.1.1 Первичная обработка 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оценкарезультатов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АЭ-контроля осуществляется непосредственно в ходе его проведения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наоснове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анализа изменения параметров АЭ в реальном времени.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8.1.2. Первичная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оценкарезультатов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АЭ-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контродя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предназначена для предотвращения разрушения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контролируемогоперехода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газопровода с помощью своевременного прекращения нагружения 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сбросадавления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8.1.3 В процессе АЭ-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контроляперехода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МГ необходимо наблюдать за общей активностью АЭ по всем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каналам,активностью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АЭ по каждому каналу, активностью АЭ в отдельных зонах,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8.1.4 Рекомендуется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наблюдатьлокационные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карты (график зонной локации), осциллограммы, а также несколько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изнижеприведенных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параметров (по выбору специалиста АЭ-контроля):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 давление в трубе;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 суммарную АЭ;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 число импульсов АЭ;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 активность АЭ;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 скорость счета АЭ;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 амплитуду АЭ сигналов;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 энергию АЭ сигналов;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 суммарный счет АЭ;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отношение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амплитудыимпульсов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АЭ к их длительности.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8.1.5 При первичной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оценкеданных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рекомендуется следить за следующими параметрами: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амплитудой либо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энергиейсигналов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АЭ, т.к. увеличение амплитуды АЭ либо энергии сигналов с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ростомнагрузки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является указанием на присутствие значимого дефекта и часто связано сростом трещины;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активностью АЭ 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скоростьюсчета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АЭ, т.к. возрастание этих параметров с увеличением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нагрузкисвидетельствует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о росте дефекта;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количеством событий АЭ,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т.</w:t>
      </w:r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к.количество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лоцированных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событий АЭ в кластере связано с размером 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опасностьюдефекта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lastRenderedPageBreak/>
        <w:t xml:space="preserve">-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местоположениемлоцированного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источника АЭ, т.к. выявление источника в потенциально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опаснойзоне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свидетельствует о большей вероятности нахождения в данной зоне дефекта.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bookmarkStart w:id="8" w:name="i85421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8.1.6 По характеру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временныхзависимостей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указанных параметров, показанных на рисунке 1, источники АЭ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могутбыть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разделены на четыре класса:</w:t>
      </w:r>
      <w:bookmarkEnd w:id="8"/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 пассивный источник (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источникI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 класса</w:t>
      </w:r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),характеризующийся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монотонным уменьшением активности, скорости счета,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амплитуды,энергии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во времени и «насыщением» (выходом на горизонтальное плато)накопительных параметров АЭ, т.е. суммарной АЭ и числа событий;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активный источник (источник II класса), характеризующийся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квазипостояннымизначениями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активности, скорости счета, амплитуды, энергии во времени 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линейнойзависимостью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от времени накопительных параметров АЭ;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критически активный </w:t>
      </w:r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источник(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источник III класса),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характеризующийсяпостоянным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приростом значений активности, скорости счета, амплитуды, энергии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вовремени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 отклонением от линейной временной зависимости в сторону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увеличениязначений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накопительных параметров АЭ;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катастрофически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активныйисточник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(источник IV класса), характеризующийся дальнейшим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существеннымувеличением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значений активности, скорости счета, амплитуды, энергии во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времении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существенным отклонением от линейной временной зависимости 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сторонуувеличения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значений накопительных параметров АЭ.</w:t>
      </w:r>
    </w:p>
    <w:p w:rsidR="00064A41" w:rsidRPr="000832AF" w:rsidRDefault="00064A41" w:rsidP="00064A41">
      <w:pPr>
        <w:spacing w:line="210" w:lineRule="atLeast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b/>
          <w:bCs/>
          <w:noProof/>
          <w:szCs w:val="24"/>
          <w:bdr w:val="none" w:sz="0" w:space="0" w:color="auto" w:frame="1"/>
          <w:lang w:eastAsia="ru-RU"/>
        </w:rPr>
        <w:drawing>
          <wp:inline distT="0" distB="0" distL="0" distR="0" wp14:anchorId="52299B6E" wp14:editId="213CB67C">
            <wp:extent cx="3819525" cy="2000250"/>
            <wp:effectExtent l="0" t="0" r="9525" b="0"/>
            <wp:docPr id="3" name="Рисунок 3" descr="http://www.ohranatruda.ru/ot_biblio/normativ/data_normativ/58/58890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hranatruda.ru/ot_biblio/normativ/data_normativ/58/58890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41" w:rsidRPr="000832AF" w:rsidRDefault="00064A41" w:rsidP="00064A41">
      <w:pPr>
        <w:spacing w:line="210" w:lineRule="atLeast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Рисунок 1 -Схематическое представление классов источников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8.1.7 Последовательность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рекомендуемыхдействий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специалиста АЭ-контроля во время проведения контроля 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случаевыявления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источника АЭ представлена в таблице 3.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8.2 Предварительная фильтрация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собранныхданных</w:t>
      </w:r>
      <w:proofErr w:type="spellEnd"/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8.2.1 Перед проведением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оценкирезультатов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AЭ-контроля необходимо очистить собранные данные от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постороннихсигналов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различного типа.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8.2.2 Все действия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пофильтрации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данных ЛЭ должны быть документированы и снабжены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пояснениями.Подученные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после фильтрации данные должны быть сохранены наряду с исходными.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8.2.3 Для оценки физической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природыисточника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шума целесообразно использовать акустико-эмиссионную аппаратуру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сфункциями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осциллографа 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спектроанализатора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8.2.4 Обязательно должна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проводитьсяфильтрация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синфазной помехи. Для «истинных» сигналов разность времени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приходаориентировочно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составляет более 3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мкс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Таблица 3 - Действия специалиста АЭ-контроля 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случаевыявления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источника АЭ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6425"/>
      </w:tblGrid>
      <w:tr w:rsidR="000832AF" w:rsidRPr="000832AF" w:rsidTr="00064A41">
        <w:trPr>
          <w:jc w:val="center"/>
        </w:trPr>
        <w:tc>
          <w:tcPr>
            <w:tcW w:w="1550" w:type="pct"/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Выявленный источник АЭ</w:t>
            </w:r>
          </w:p>
        </w:tc>
        <w:tc>
          <w:tcPr>
            <w:tcW w:w="3400" w:type="pct"/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Действия специалиста АЭ-контроля</w:t>
            </w:r>
          </w:p>
        </w:tc>
      </w:tr>
      <w:tr w:rsidR="000832AF" w:rsidRPr="000832AF" w:rsidTr="00064A41">
        <w:trPr>
          <w:jc w:val="center"/>
        </w:trPr>
        <w:tc>
          <w:tcPr>
            <w:tcW w:w="1550" w:type="pct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Пассивный (источник </w:t>
            </w: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I </w:t>
            </w:r>
            <w:r w:rsidRPr="000832AF">
              <w:rPr>
                <w:rFonts w:eastAsia="Times New Roman" w:cs="Times New Roman"/>
                <w:szCs w:val="24"/>
                <w:lang w:eastAsia="ru-RU"/>
              </w:rPr>
              <w:t>класса)</w:t>
            </w:r>
          </w:p>
        </w:tc>
        <w:tc>
          <w:tcPr>
            <w:tcW w:w="3400" w:type="pct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 xml:space="preserve">Продолжить </w:t>
            </w:r>
            <w:proofErr w:type="spellStart"/>
            <w:r w:rsidRPr="000832AF">
              <w:rPr>
                <w:rFonts w:eastAsia="Times New Roman" w:cs="Times New Roman"/>
                <w:szCs w:val="24"/>
                <w:lang w:eastAsia="ru-RU"/>
              </w:rPr>
              <w:t>нагружение</w:t>
            </w:r>
            <w:proofErr w:type="spellEnd"/>
            <w:r w:rsidRPr="000832AF">
              <w:rPr>
                <w:rFonts w:eastAsia="Times New Roman" w:cs="Times New Roman"/>
                <w:szCs w:val="24"/>
                <w:lang w:eastAsia="ru-RU"/>
              </w:rPr>
              <w:t xml:space="preserve"> МГ на переходе</w:t>
            </w:r>
          </w:p>
        </w:tc>
      </w:tr>
      <w:tr w:rsidR="000832AF" w:rsidRPr="000832AF" w:rsidTr="00064A41">
        <w:trPr>
          <w:jc w:val="center"/>
        </w:trPr>
        <w:tc>
          <w:tcPr>
            <w:tcW w:w="1550" w:type="pct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Активный (источник </w:t>
            </w: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II</w:t>
            </w:r>
            <w:r w:rsidRPr="000832AF">
              <w:rPr>
                <w:rFonts w:eastAsia="Times New Roman" w:cs="Times New Roman"/>
                <w:szCs w:val="24"/>
                <w:lang w:eastAsia="ru-RU"/>
              </w:rPr>
              <w:t> класса)</w:t>
            </w:r>
          </w:p>
        </w:tc>
        <w:tc>
          <w:tcPr>
            <w:tcW w:w="3400" w:type="pct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 xml:space="preserve">Продолжить </w:t>
            </w:r>
            <w:proofErr w:type="spellStart"/>
            <w:r w:rsidRPr="000832AF">
              <w:rPr>
                <w:rFonts w:eastAsia="Times New Roman" w:cs="Times New Roman"/>
                <w:szCs w:val="24"/>
                <w:lang w:eastAsia="ru-RU"/>
              </w:rPr>
              <w:t>нагружение</w:t>
            </w:r>
            <w:proofErr w:type="spellEnd"/>
            <w:r w:rsidRPr="000832AF">
              <w:rPr>
                <w:rFonts w:eastAsia="Times New Roman" w:cs="Times New Roman"/>
                <w:szCs w:val="24"/>
                <w:lang w:eastAsia="ru-RU"/>
              </w:rPr>
              <w:t xml:space="preserve"> МГ на переходе</w:t>
            </w:r>
          </w:p>
        </w:tc>
      </w:tr>
      <w:tr w:rsidR="000832AF" w:rsidRPr="000832AF" w:rsidTr="00064A41">
        <w:trPr>
          <w:jc w:val="center"/>
        </w:trPr>
        <w:tc>
          <w:tcPr>
            <w:tcW w:w="1550" w:type="pct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lastRenderedPageBreak/>
              <w:t>Критически активный (источник </w:t>
            </w: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III </w:t>
            </w:r>
            <w:r w:rsidRPr="000832AF">
              <w:rPr>
                <w:rFonts w:eastAsia="Times New Roman" w:cs="Times New Roman"/>
                <w:szCs w:val="24"/>
                <w:lang w:eastAsia="ru-RU"/>
              </w:rPr>
              <w:t>класса)</w:t>
            </w:r>
          </w:p>
        </w:tc>
        <w:tc>
          <w:tcPr>
            <w:tcW w:w="3400" w:type="pct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 xml:space="preserve">Приостановить </w:t>
            </w:r>
            <w:proofErr w:type="spellStart"/>
            <w:r w:rsidRPr="000832AF">
              <w:rPr>
                <w:rFonts w:eastAsia="Times New Roman" w:cs="Times New Roman"/>
                <w:szCs w:val="24"/>
                <w:lang w:eastAsia="ru-RU"/>
              </w:rPr>
              <w:t>нагружение</w:t>
            </w:r>
            <w:proofErr w:type="spellEnd"/>
            <w:r w:rsidRPr="000832AF">
              <w:rPr>
                <w:rFonts w:eastAsia="Times New Roman" w:cs="Times New Roman"/>
                <w:szCs w:val="24"/>
                <w:lang w:eastAsia="ru-RU"/>
              </w:rPr>
              <w:t xml:space="preserve"> МГ на переходе, после анализа данных АЭ принять решение о продолжении или прекращении нагружения МГ на переходе</w:t>
            </w:r>
          </w:p>
        </w:tc>
      </w:tr>
      <w:tr w:rsidR="000832AF" w:rsidRPr="000832AF" w:rsidTr="00064A41">
        <w:trPr>
          <w:jc w:val="center"/>
        </w:trPr>
        <w:tc>
          <w:tcPr>
            <w:tcW w:w="1550" w:type="pct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>Катастрофически активный (источник </w:t>
            </w:r>
            <w:proofErr w:type="spellStart"/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IV</w:t>
            </w:r>
            <w:r w:rsidRPr="000832AF">
              <w:rPr>
                <w:rFonts w:eastAsia="Times New Roman" w:cs="Times New Roman"/>
                <w:szCs w:val="24"/>
                <w:lang w:eastAsia="ru-RU"/>
              </w:rPr>
              <w:t>класса</w:t>
            </w:r>
            <w:proofErr w:type="spellEnd"/>
            <w:r w:rsidRPr="000832AF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3400" w:type="pct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lang w:eastAsia="ru-RU"/>
              </w:rPr>
              <w:t xml:space="preserve">Прекратить </w:t>
            </w:r>
            <w:proofErr w:type="spellStart"/>
            <w:r w:rsidRPr="000832AF">
              <w:rPr>
                <w:rFonts w:eastAsia="Times New Roman" w:cs="Times New Roman"/>
                <w:szCs w:val="24"/>
                <w:lang w:eastAsia="ru-RU"/>
              </w:rPr>
              <w:t>нагружение</w:t>
            </w:r>
            <w:proofErr w:type="spellEnd"/>
            <w:r w:rsidRPr="000832AF">
              <w:rPr>
                <w:rFonts w:eastAsia="Times New Roman" w:cs="Times New Roman"/>
                <w:szCs w:val="24"/>
                <w:lang w:eastAsia="ru-RU"/>
              </w:rPr>
              <w:t xml:space="preserve"> МГ на переходе, произвести уменьшение давления до величины, при которой класс источника АЭ снизится до уровня </w:t>
            </w: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II </w:t>
            </w:r>
            <w:r w:rsidRPr="000832AF">
              <w:rPr>
                <w:rFonts w:eastAsia="Times New Roman" w:cs="Times New Roman"/>
                <w:szCs w:val="24"/>
                <w:lang w:eastAsia="ru-RU"/>
              </w:rPr>
              <w:t>или </w:t>
            </w: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III</w:t>
            </w:r>
            <w:r w:rsidRPr="000832AF">
              <w:rPr>
                <w:rFonts w:eastAsia="Times New Roman" w:cs="Times New Roman"/>
                <w:szCs w:val="24"/>
                <w:lang w:eastAsia="ru-RU"/>
              </w:rPr>
              <w:t> класса</w:t>
            </w:r>
          </w:p>
        </w:tc>
      </w:tr>
    </w:tbl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8.2.5Обязательно должна проводиться фильтрация по количеству выбросов.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Для«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истинных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» сигналов количество выбросов ориентировочно составляет более 3 шт.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8.2.6 При фильтрации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собранныхданных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следует обращать внимание на следующие типы посторонних сигналов: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электромагнитная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наводкапостоянного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характера, которая характеризуется практически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одинаковой,повторяющейся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формой сигнала, спектр которого локализован в узкой области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либонескольких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областях;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одиночный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электромагнитныйимпульс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, который характеризуется небольшим количеством выбросов, «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гладким»широким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спектром, в котором достаточно заметны высокочастотные составляющие;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наводки на несущих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частотахканалов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радиовещания, особенно диапазона Д В, например, на частоте 234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кГц,которые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характеризуются кратностью частоте 9 кГц;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сигналы от утечек,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которыеявляются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непрерывными и имеют механическую природу, поэтому в их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спектренаблюдается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практическое отсутствие частот как нижних (до частоты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срезафильтров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), так и высоких (в результате их повышенного затухания в газопроводе).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8.3 Обработка и оценка данных АЭ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8.3.1 Оценку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техническогосостояния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перехода МГ проводят по результатам анализа информации, полученной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впроцессе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АЭ-контроля, о наличии или отсутствии дефектов 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контролируемомпереходе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8.3.2 Для анализа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источниковАЭ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 классификации их по степени опасности должны использоваться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критерии,апробированные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на значительном объеме экспериментальных данных, включающих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испытанияучастков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газопроводов с различными дефектами. Основные критерии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дляклассификации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источников АЭ приведены в ПБ03-593-03 [6].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8.3.3 Независимо от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выбранногодля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классификации критерия источники АЭ рекомендуется разделять на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четырекласса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, идентичные описанным в8.1.6.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8.3.4 Активные,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критическиактивные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 катастрофически активные источники АЭ считаются недопустимыми, 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приих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выявлении и локализации требуется провести визуальный контроль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участкаперехода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 выявленным источником и, в случае необходимости,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дополнительныйконтроль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другими методами неразрушающего контроля, после чего принять решение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онеобходимости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ремонта указанного участка.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8.3.5 </w:t>
      </w:r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случае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обнаруженияпассивного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источника АЭ требуется оценить необходимость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дополнительногоконтроля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другими методами,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8.3.6 Для оценки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необходимостидополнительного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контроля участка перехода, на котором выявлен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пассивныйисточник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АЭ, на локационной схеме следует выделить кластеры -участки,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накоторых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зарегистрировано не менее двух событий. Источники в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выделенныхкластерах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требуется разбить на три группы: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источники группы 1,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имеющиенебольшую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среднюю энергию (менее 100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мВ·мкс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) при небольшом числе событий;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источники группы 2,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имеющиезначение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средней энергии от 100 до 200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мВ·мкс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при относительно большом </w:t>
      </w:r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числе(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пять и более) событий, распределенных на достаточно протяженном участке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длинойболее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двух диаметров контролируемого участка перехода газопровода;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источники группы 3,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имеющиевысокое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значение средней энергии (более 200 мВ-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мкс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) при относительно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небольшомчисле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(от двух до четырех) событий, компактно </w:t>
      </w: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lastRenderedPageBreak/>
        <w:t xml:space="preserve">локализованных на участке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длинойменее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двух диаметров контролируемого участка перехода газопровода.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8.3.7 Источники группы 1 могут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бытьсвязаны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 малозначительными дефектами, такими как небольшие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непровары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смещениякромок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, подрезы, цепочки пор, шлаковые включения, отдельные очаги коррозии.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8.3.8 Источники группы 2 связаны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сраспределенными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дефектами, часто с участками коррозионного растрескивания.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8.3.9 Источники группы 3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могутсоответствовать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наиболее выраженным дефектам, являющимся сильными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локальнымиконцентраторами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напряжений, такими как трещины (в основном металле 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сварныхшвах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непровары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, смещения кромок, подрезы.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8.3.10 При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выявленииисточников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группы 1 проведение дополнительного контроля не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требуется.Выявленные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источники заносятся в базу данных для сравнительного анализа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припоследующем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АЭ-контроле.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8.3.11 При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выявленииисточников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групп 2 и 3 необходимо провести визуальный контроль участка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переходас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выявленным источником и, в случае необходимости, дополнительный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контрольдругими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методами неразрушающего контроля для определения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количественныххарактеристик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(размеры, ориентация и т.д.) обнаруженных дефектов, после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чегопроизвести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оценку работоспособности контролируемого перехода.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8.4 Документальное оформление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результатовАЭ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-контроля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8.4.1 Результаты АЭ-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контролядолжны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содержаться в отчетных документах, которые составляются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организацией,проводившей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АЭ-контроль: в отчете, протоколе АЭ-контроля, заключении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порезультатам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АЭ-контроля.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8.4.2 Отчет должен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содержатьисчерпывающие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данные о подготовке и проведении АЭ-контроля, а также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информацию,которая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позволяет оценить состояние объекта и подтвердить уровень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квалификацииспециалистов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АЭ-контроля, на основании чего можно судить 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достоверностирезультатов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8.4.3 </w:t>
      </w:r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отчете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должнысодержаться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следующие данные: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наименование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организации,эксплуатирующей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газопровод;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наименование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организации,проводившей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АЭ-контроль;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 дата АЭ-контроля;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наименование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контролируемогоперехода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координаты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контролируемогоперехода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технические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характеристикиперехода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МГ через преграду;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 сведения об использованной акустико-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эмиссионнойаппаратуре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установочные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параметрыакустико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-эмиссионной аппаратуры (частотный диапазон, порог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ограниченияамплитуды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 т.д.);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акустические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свойстваобследуемого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перехода (скорость распространения сигналов, затухание);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- расстояния между ПАЭ;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местоположение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обнаруженныхдефектов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классификация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обнаруженныхдефектов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результаты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дополнительногоконтроля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обнаруженных дефектов в случае его проведения;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 вид ремонта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обнаруженныхдефектов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 случае его проведения.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8.4.4 Протокол АЭ-контроля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изаключение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по результатам АЭ-контроля являются частью отчета, но также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могутбыть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использованы в качестве самостоятельных документов. Формы протокола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изаключения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приведены в приложениях А и 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Бсоответственно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8.4.5 Решение 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проведенииработ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по ремонту дефектных участков перехода МГ должно принимать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руководствоорганизации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эксплуатирующей данный газопровод, на основании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представленныхдокументов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по результатам АЭ-контроля.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8.4.6 В случае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ремонтазабракованного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участка путем его вырезки образцы металла, содержащие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дефекты,рекомендуется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сохранять для дополнительных исследований.</w:t>
      </w:r>
    </w:p>
    <w:p w:rsidR="00064A41" w:rsidRPr="000832AF" w:rsidRDefault="00064A41" w:rsidP="00064A41">
      <w:pPr>
        <w:spacing w:line="360" w:lineRule="atLeast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bookmarkStart w:id="9" w:name="i92350"/>
      <w:r w:rsidRPr="000832AF">
        <w:rPr>
          <w:rFonts w:eastAsia="Times New Roman" w:cs="Times New Roman"/>
          <w:b/>
          <w:bCs/>
          <w:kern w:val="36"/>
          <w:sz w:val="30"/>
          <w:szCs w:val="30"/>
          <w:bdr w:val="none" w:sz="0" w:space="0" w:color="auto" w:frame="1"/>
          <w:lang w:eastAsia="ru-RU"/>
        </w:rPr>
        <w:t>9 Требования безопасности</w:t>
      </w:r>
      <w:bookmarkEnd w:id="9"/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lastRenderedPageBreak/>
        <w:t>9.1 Специалисты АЭ-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контроля,проводящие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работы по АЭ-контролю перехода МГ, должны пройти проверку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знанийправил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безопасности Ростехнадзора и иметь соответствующие удостоверения.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9.2 Все лица,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принимающиеучастие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в работах по АЭ-контролю перехода МГ, должны быть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обеспеченыспецодеждой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и средствами индивидуальной защиты.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9.3 При проведении работ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сакустико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-эмиссионной аппаратурой необходимо соблюдать требования безопасности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иохраны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труда поГОСТ12.1.019-79, ГОСТ12.2.003-91, Правилам технической эксплуатации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электроустановокпотребителей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 [7</w:t>
      </w:r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],главам</w:t>
      </w:r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1.1, 1.2, 1.7, 1.9 Правил устройства электроустановок [8]и паспорту на используемую акустико-эмиссионную аппаратуру.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9.4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Заземлениеакустико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-эмиссионной аппаратуры должно осуществляться специальным проводом с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отличительнымпризнаком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который подсоединяется к корпусу прибора. Сечение провода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должнобыть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не менее сечения фазных проводов и не менее 2,5 мм</w:t>
      </w:r>
      <w:r w:rsidRPr="000832AF">
        <w:rPr>
          <w:rFonts w:eastAsia="Times New Roman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.</w:t>
      </w:r>
    </w:p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9.5 Работа в ночное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времядопускается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только в виде исключения и при условии обязательного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освещенияперехода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МГ и прилегающей территории.</w:t>
      </w:r>
    </w:p>
    <w:p w:rsidR="00064A41" w:rsidRPr="000832AF" w:rsidRDefault="00064A41" w:rsidP="00064A41">
      <w:pPr>
        <w:spacing w:line="360" w:lineRule="atLeast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bookmarkStart w:id="10" w:name="i106420"/>
      <w:bookmarkStart w:id="11" w:name="i117463"/>
      <w:bookmarkEnd w:id="10"/>
      <w:bookmarkEnd w:id="11"/>
      <w:r w:rsidRPr="000832AF">
        <w:rPr>
          <w:rFonts w:eastAsia="Times New Roman" w:cs="Times New Roman"/>
          <w:b/>
          <w:bCs/>
          <w:kern w:val="36"/>
          <w:sz w:val="30"/>
          <w:szCs w:val="30"/>
          <w:bdr w:val="none" w:sz="0" w:space="0" w:color="auto" w:frame="1"/>
          <w:lang w:eastAsia="ru-RU"/>
        </w:rPr>
        <w:t>Приложение А</w:t>
      </w:r>
      <w:r w:rsidRPr="000832AF">
        <w:rPr>
          <w:rFonts w:eastAsia="Times New Roman" w:cs="Times New Roman"/>
          <w:b/>
          <w:bCs/>
          <w:kern w:val="36"/>
          <w:sz w:val="30"/>
          <w:szCs w:val="30"/>
          <w:bdr w:val="none" w:sz="0" w:space="0" w:color="auto" w:frame="1"/>
          <w:lang w:eastAsia="ru-RU"/>
        </w:rPr>
        <w:br/>
        <w:t>(рекомендуемое)</w:t>
      </w:r>
      <w:r w:rsidRPr="000832AF">
        <w:rPr>
          <w:rFonts w:eastAsia="Times New Roman" w:cs="Times New Roman"/>
          <w:b/>
          <w:bCs/>
          <w:kern w:val="36"/>
          <w:sz w:val="30"/>
          <w:szCs w:val="30"/>
          <w:bdr w:val="none" w:sz="0" w:space="0" w:color="auto" w:frame="1"/>
          <w:lang w:eastAsia="ru-RU"/>
        </w:rPr>
        <w:br/>
        <w:t>Форма протокола акустико-эмиссионного контроля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0832AF" w:rsidRPr="000832AF" w:rsidTr="00064A41">
        <w:trPr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373"/>
              <w:gridCol w:w="1119"/>
              <w:gridCol w:w="280"/>
              <w:gridCol w:w="746"/>
              <w:gridCol w:w="466"/>
              <w:gridCol w:w="1492"/>
              <w:gridCol w:w="373"/>
              <w:gridCol w:w="186"/>
              <w:gridCol w:w="932"/>
              <w:gridCol w:w="1212"/>
            </w:tblGrid>
            <w:tr w:rsidR="000832AF" w:rsidRPr="000832AF">
              <w:trPr>
                <w:jc w:val="center"/>
              </w:trPr>
              <w:tc>
                <w:tcPr>
                  <w:tcW w:w="2100" w:type="pct"/>
                  <w:gridSpan w:val="4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1. Дата проведения контроля</w:t>
                  </w:r>
                </w:p>
              </w:tc>
              <w:tc>
                <w:tcPr>
                  <w:tcW w:w="2850" w:type="pct"/>
                  <w:gridSpan w:val="7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100" w:type="pct"/>
                  <w:gridSpan w:val="4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2. Организация, проводящая контроль</w:t>
                  </w:r>
                </w:p>
              </w:tc>
              <w:tc>
                <w:tcPr>
                  <w:tcW w:w="2850" w:type="pct"/>
                  <w:gridSpan w:val="7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3. Данные об объекте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1150" w:type="pct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Местоположение (пикет)</w:t>
                  </w:r>
                </w:p>
              </w:tc>
              <w:tc>
                <w:tcPr>
                  <w:tcW w:w="95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850" w:type="pct"/>
                  <w:gridSpan w:val="7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1150" w:type="pct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Номер паспорта</w:t>
                  </w:r>
                </w:p>
              </w:tc>
              <w:tc>
                <w:tcPr>
                  <w:tcW w:w="95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600" w:type="pct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Дата ввода в эксплуатацию</w:t>
                  </w:r>
                </w:p>
              </w:tc>
              <w:tc>
                <w:tcPr>
                  <w:tcW w:w="1400" w:type="pct"/>
                  <w:gridSpan w:val="4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1150" w:type="pct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Марка материала</w:t>
                  </w:r>
                </w:p>
              </w:tc>
              <w:tc>
                <w:tcPr>
                  <w:tcW w:w="95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600" w:type="pct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Метод изготовления</w:t>
                  </w:r>
                </w:p>
              </w:tc>
              <w:tc>
                <w:tcPr>
                  <w:tcW w:w="1400" w:type="pct"/>
                  <w:gridSpan w:val="4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1150" w:type="pct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Толщина стенки, мм</w:t>
                  </w:r>
                </w:p>
              </w:tc>
              <w:tc>
                <w:tcPr>
                  <w:tcW w:w="95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600" w:type="pct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Диаметр, мм</w:t>
                  </w:r>
                </w:p>
              </w:tc>
              <w:tc>
                <w:tcPr>
                  <w:tcW w:w="1400" w:type="pct"/>
                  <w:gridSpan w:val="4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100" w:type="pct"/>
                  <w:gridSpan w:val="4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Размер контролируемой зоны</w:t>
                  </w:r>
                </w:p>
              </w:tc>
              <w:tc>
                <w:tcPr>
                  <w:tcW w:w="600" w:type="pct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25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100" w:type="pct"/>
                  <w:gridSpan w:val="4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Рабочее давление</w:t>
                  </w:r>
                </w:p>
              </w:tc>
              <w:tc>
                <w:tcPr>
                  <w:tcW w:w="600" w:type="pct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Рабочая среда</w:t>
                  </w:r>
                </w:p>
              </w:tc>
              <w:tc>
                <w:tcPr>
                  <w:tcW w:w="600" w:type="pct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100" w:type="pct"/>
                  <w:gridSpan w:val="4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Рабочая температура</w:t>
                  </w:r>
                </w:p>
              </w:tc>
              <w:tc>
                <w:tcPr>
                  <w:tcW w:w="600" w:type="pct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Магнитные свойства</w:t>
                  </w:r>
                </w:p>
              </w:tc>
              <w:tc>
                <w:tcPr>
                  <w:tcW w:w="600" w:type="pct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100" w:type="pct"/>
                  <w:gridSpan w:val="4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Состояние поверхности</w:t>
                  </w:r>
                </w:p>
              </w:tc>
              <w:tc>
                <w:tcPr>
                  <w:tcW w:w="600" w:type="pct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25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100" w:type="pct"/>
                  <w:gridSpan w:val="4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Характеристики затухания волн</w:t>
                  </w:r>
                </w:p>
              </w:tc>
              <w:tc>
                <w:tcPr>
                  <w:tcW w:w="600" w:type="pct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ш</w:t>
                  </w:r>
                </w:p>
              </w:tc>
              <w:tc>
                <w:tcPr>
                  <w:tcW w:w="225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4350" w:type="pct"/>
                  <w:gridSpan w:val="10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Эскиз объекта с указанием размеров и размещения ПАЗ (в приложении)</w:t>
                  </w:r>
                </w:p>
              </w:tc>
              <w:tc>
                <w:tcPr>
                  <w:tcW w:w="600" w:type="pct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4. Дополнительные сведения об объекте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5. Акустические характеристики материала, определение порогового расстояния и расположение преобразователей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1150" w:type="pct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Заполнение объекта</w:t>
                  </w:r>
                </w:p>
              </w:tc>
              <w:tc>
                <w:tcPr>
                  <w:tcW w:w="155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Жидкость-газ-пустой</w:t>
                  </w:r>
                </w:p>
              </w:tc>
              <w:tc>
                <w:tcPr>
                  <w:tcW w:w="1600" w:type="pct"/>
                  <w:gridSpan w:val="4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Давление</w:t>
                  </w:r>
                </w:p>
              </w:tc>
              <w:tc>
                <w:tcPr>
                  <w:tcW w:w="600" w:type="pct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1150" w:type="pct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Преобразователи</w:t>
                  </w:r>
                </w:p>
              </w:tc>
              <w:tc>
                <w:tcPr>
                  <w:tcW w:w="800" w:type="pct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75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600" w:type="pct"/>
                  <w:gridSpan w:val="4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Предусилители</w:t>
                  </w:r>
                </w:p>
              </w:tc>
              <w:tc>
                <w:tcPr>
                  <w:tcW w:w="600" w:type="pct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1150" w:type="pct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Имитатор АЭ</w:t>
                  </w:r>
                </w:p>
              </w:tc>
              <w:tc>
                <w:tcPr>
                  <w:tcW w:w="800" w:type="pct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75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25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750" w:type="pct"/>
                  <w:gridSpan w:val="6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Место определения параметров затухания</w:t>
                  </w:r>
                </w:p>
              </w:tc>
              <w:tc>
                <w:tcPr>
                  <w:tcW w:w="225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750" w:type="pct"/>
                  <w:gridSpan w:val="6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Пороговое расстояние, м</w:t>
                  </w:r>
                </w:p>
              </w:tc>
              <w:tc>
                <w:tcPr>
                  <w:tcW w:w="225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750" w:type="pct"/>
                  <w:gridSpan w:val="6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Скорость звука в объекте, м/сек</w:t>
                  </w:r>
                </w:p>
              </w:tc>
              <w:tc>
                <w:tcPr>
                  <w:tcW w:w="225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750" w:type="pct"/>
                  <w:gridSpan w:val="6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Реальное максимальное расстояние между соседними преобразователями (принимается 2/3Lдля локации по разнице времени прихода, 1,5L- для зональной</w:t>
                  </w:r>
                </w:p>
              </w:tc>
              <w:tc>
                <w:tcPr>
                  <w:tcW w:w="225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750" w:type="pct"/>
                  <w:gridSpan w:val="6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Данные калибровки (расстояние между преобразователями), </w:t>
                  </w:r>
                  <w:proofErr w:type="spellStart"/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мкс</w:t>
                  </w:r>
                  <w:proofErr w:type="spellEnd"/>
                </w:p>
              </w:tc>
              <w:tc>
                <w:tcPr>
                  <w:tcW w:w="225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750" w:type="pct"/>
                  <w:gridSpan w:val="6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Наличие на поверхности объекта мертвых зон</w:t>
                  </w:r>
                </w:p>
              </w:tc>
              <w:tc>
                <w:tcPr>
                  <w:tcW w:w="225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Комментарии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noProof/>
                      <w:szCs w:val="24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31317FA0" wp14:editId="52F9E907">
                        <wp:extent cx="3762375" cy="2867025"/>
                        <wp:effectExtent l="0" t="0" r="9525" b="9525"/>
                        <wp:docPr id="2" name="Рисунок 2" descr="http://www.ohranatruda.ru/ot_biblio/normativ/data_normativ/58/58890/x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ohranatruda.ru/ot_biblio/normativ/data_normativ/58/58890/x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2375" cy="2867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6. Тип и условия испытания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750" w:type="pct"/>
                  <w:gridSpan w:val="6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Рабочее тело</w:t>
                  </w:r>
                </w:p>
              </w:tc>
              <w:tc>
                <w:tcPr>
                  <w:tcW w:w="225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750" w:type="pct"/>
                  <w:gridSpan w:val="6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Температура объекта</w:t>
                  </w:r>
                </w:p>
              </w:tc>
              <w:tc>
                <w:tcPr>
                  <w:tcW w:w="225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750" w:type="pct"/>
                  <w:gridSpan w:val="6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Температура окружающей среды</w:t>
                  </w:r>
                </w:p>
              </w:tc>
              <w:tc>
                <w:tcPr>
                  <w:tcW w:w="225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750" w:type="pct"/>
                  <w:gridSpan w:val="6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Марка нагружающего оборудования</w:t>
                  </w:r>
                </w:p>
              </w:tc>
              <w:tc>
                <w:tcPr>
                  <w:tcW w:w="225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750" w:type="pct"/>
                  <w:gridSpan w:val="6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Испытательное давление</w:t>
                  </w:r>
                </w:p>
              </w:tc>
              <w:tc>
                <w:tcPr>
                  <w:tcW w:w="225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7. Параметры графика нагружения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750" w:type="pct"/>
                  <w:gridSpan w:val="6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Скорость нагружения</w:t>
                  </w:r>
                </w:p>
              </w:tc>
              <w:tc>
                <w:tcPr>
                  <w:tcW w:w="225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750" w:type="pct"/>
                  <w:gridSpan w:val="6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Время выдержки</w:t>
                  </w:r>
                </w:p>
              </w:tc>
              <w:tc>
                <w:tcPr>
                  <w:tcW w:w="225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750" w:type="pct"/>
                  <w:gridSpan w:val="6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Величины нагрузок при выдержках</w:t>
                  </w:r>
                </w:p>
              </w:tc>
              <w:tc>
                <w:tcPr>
                  <w:tcW w:w="225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8. График нагружения (планируемый и реальный)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noProof/>
                      <w:szCs w:val="24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586D8B75" wp14:editId="7D8BE024">
                        <wp:extent cx="4305300" cy="2305050"/>
                        <wp:effectExtent l="0" t="0" r="0" b="0"/>
                        <wp:docPr id="1" name="Рисунок 1" descr="http://www.ohranatruda.ru/ot_biblio/normativ/data_normativ/58/58890/x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ohranatruda.ru/ot_biblio/normativ/data_normativ/58/58890/x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5300" cy="230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Комментарии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1350" w:type="pct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Время, сек</w:t>
                  </w:r>
                </w:p>
              </w:tc>
              <w:tc>
                <w:tcPr>
                  <w:tcW w:w="1350" w:type="pct"/>
                  <w:gridSpan w:val="4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Давление, МПа</w:t>
                  </w:r>
                </w:p>
              </w:tc>
              <w:tc>
                <w:tcPr>
                  <w:tcW w:w="110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Амплитуда, дБ</w:t>
                  </w:r>
                </w:p>
              </w:tc>
              <w:tc>
                <w:tcPr>
                  <w:tcW w:w="1100" w:type="pct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Комментарии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1350" w:type="pct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350" w:type="pct"/>
                  <w:gridSpan w:val="4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1350" w:type="pct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350" w:type="pct"/>
                  <w:gridSpan w:val="4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1350" w:type="pct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350" w:type="pct"/>
                  <w:gridSpan w:val="4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1350" w:type="pct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350" w:type="pct"/>
                  <w:gridSpan w:val="4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9. Тип и характеристика акустико-эмиссионной аппаратуры, включая название фирмы изготовителя, модель и номер прибора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10. Число и тип преобразователей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11. Контактная среда |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12. Режим работы аппаратуры АЭ и проверка ее работоспособности (до и после испытаний)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50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Параметр</w:t>
                  </w:r>
                </w:p>
              </w:tc>
              <w:tc>
                <w:tcPr>
                  <w:tcW w:w="125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До испытания</w:t>
                  </w:r>
                </w:p>
              </w:tc>
              <w:tc>
                <w:tcPr>
                  <w:tcW w:w="125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После испытания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50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Коэффициент предварительного усиления</w:t>
                  </w:r>
                </w:p>
              </w:tc>
              <w:tc>
                <w:tcPr>
                  <w:tcW w:w="125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50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Коэффициент основного усиления по каналам</w:t>
                  </w:r>
                </w:p>
              </w:tc>
              <w:tc>
                <w:tcPr>
                  <w:tcW w:w="125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50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Уровень дискриминации по каналам</w:t>
                  </w:r>
                </w:p>
              </w:tc>
              <w:tc>
                <w:tcPr>
                  <w:tcW w:w="125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50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Уровень собственных шумов (приведенных ко входу предусилителя)</w:t>
                  </w:r>
                </w:p>
              </w:tc>
              <w:tc>
                <w:tcPr>
                  <w:tcW w:w="125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50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Рабочая полоса частот</w:t>
                  </w:r>
                </w:p>
              </w:tc>
              <w:tc>
                <w:tcPr>
                  <w:tcW w:w="125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13. Изменение параметров в ходе испытаний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14. Перечень приложений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15. Основные сведения о результатах контроля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16. Контроль проводился в соответствии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5000" w:type="pct"/>
                  <w:gridSpan w:val="11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500" w:type="pct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Обследование провел</w:t>
                  </w:r>
                </w:p>
              </w:tc>
              <w:tc>
                <w:tcPr>
                  <w:tcW w:w="125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Подпись</w:t>
                  </w:r>
                </w:p>
              </w:tc>
              <w:tc>
                <w:tcPr>
                  <w:tcW w:w="1250" w:type="pct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Фамилия</w:t>
                  </w:r>
                </w:p>
              </w:tc>
            </w:tr>
            <w:tr w:rsidR="000832AF" w:rsidRPr="000832AF">
              <w:trPr>
                <w:jc w:val="center"/>
              </w:trPr>
              <w:tc>
                <w:tcPr>
                  <w:tcW w:w="2265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0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5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5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0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0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5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5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64A41" w:rsidRPr="000832AF" w:rsidRDefault="00064A41" w:rsidP="00064A41">
      <w:pPr>
        <w:spacing w:line="360" w:lineRule="atLeast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bookmarkStart w:id="12" w:name="i127886"/>
      <w:bookmarkStart w:id="13" w:name="i134548"/>
      <w:bookmarkEnd w:id="12"/>
      <w:bookmarkEnd w:id="13"/>
      <w:r w:rsidRPr="000832AF">
        <w:rPr>
          <w:rFonts w:eastAsia="Times New Roman" w:cs="Times New Roman"/>
          <w:b/>
          <w:bCs/>
          <w:kern w:val="36"/>
          <w:sz w:val="30"/>
          <w:szCs w:val="30"/>
          <w:bdr w:val="none" w:sz="0" w:space="0" w:color="auto" w:frame="1"/>
          <w:lang w:eastAsia="ru-RU"/>
        </w:rPr>
        <w:lastRenderedPageBreak/>
        <w:t>Приложение Б</w:t>
      </w:r>
      <w:r w:rsidRPr="000832AF">
        <w:rPr>
          <w:rFonts w:eastAsia="Times New Roman" w:cs="Times New Roman"/>
          <w:b/>
          <w:bCs/>
          <w:kern w:val="36"/>
          <w:sz w:val="30"/>
          <w:szCs w:val="30"/>
          <w:bdr w:val="none" w:sz="0" w:space="0" w:color="auto" w:frame="1"/>
          <w:lang w:eastAsia="ru-RU"/>
        </w:rPr>
        <w:br/>
        <w:t>(рекомендуемое)</w:t>
      </w:r>
      <w:r w:rsidRPr="000832AF">
        <w:rPr>
          <w:rFonts w:eastAsia="Times New Roman" w:cs="Times New Roman"/>
          <w:b/>
          <w:bCs/>
          <w:kern w:val="36"/>
          <w:sz w:val="30"/>
          <w:szCs w:val="30"/>
          <w:bdr w:val="none" w:sz="0" w:space="0" w:color="auto" w:frame="1"/>
          <w:lang w:eastAsia="ru-RU"/>
        </w:rPr>
        <w:br/>
        <w:t>Форма заключения по результатам акустико-эмиссионного контроля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0832AF" w:rsidRPr="000832AF" w:rsidTr="00064A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0"/>
              <w:gridCol w:w="1110"/>
              <w:gridCol w:w="1230"/>
              <w:gridCol w:w="615"/>
              <w:gridCol w:w="1680"/>
              <w:gridCol w:w="15"/>
              <w:gridCol w:w="2310"/>
            </w:tblGrid>
            <w:tr w:rsidR="000832AF" w:rsidRPr="000832AF">
              <w:tc>
                <w:tcPr>
                  <w:tcW w:w="2310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Объект контроля</w:t>
                  </w:r>
                </w:p>
              </w:tc>
              <w:tc>
                <w:tcPr>
                  <w:tcW w:w="6945" w:type="dxa"/>
                  <w:gridSpan w:val="6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c>
                <w:tcPr>
                  <w:tcW w:w="2310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Местоположение</w:t>
                  </w:r>
                </w:p>
              </w:tc>
              <w:tc>
                <w:tcPr>
                  <w:tcW w:w="6945" w:type="dxa"/>
                  <w:gridSpan w:val="6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c>
                <w:tcPr>
                  <w:tcW w:w="3420" w:type="dxa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Контроль выполнялся аппаратурой акустической эмиссии</w:t>
                  </w:r>
                </w:p>
              </w:tc>
              <w:tc>
                <w:tcPr>
                  <w:tcW w:w="1845" w:type="dxa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lang w:eastAsia="ru-RU"/>
                    </w:rPr>
                    <w:t>Зав. №</w:t>
                  </w:r>
                </w:p>
              </w:tc>
              <w:tc>
                <w:tcPr>
                  <w:tcW w:w="2310" w:type="dxa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c>
                <w:tcPr>
                  <w:tcW w:w="2310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Согласно</w:t>
                  </w:r>
                </w:p>
              </w:tc>
              <w:tc>
                <w:tcPr>
                  <w:tcW w:w="6945" w:type="dxa"/>
                  <w:gridSpan w:val="6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c>
                <w:tcPr>
                  <w:tcW w:w="6945" w:type="dxa"/>
                  <w:gridSpan w:val="5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Детальная информация о проведенном АЭ-контроле содержится в протоколе</w:t>
                  </w:r>
                </w:p>
              </w:tc>
              <w:tc>
                <w:tcPr>
                  <w:tcW w:w="2310" w:type="dxa"/>
                  <w:gridSpan w:val="2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c>
                <w:tcPr>
                  <w:tcW w:w="9255" w:type="dxa"/>
                  <w:gridSpan w:val="7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t>Заключение</w:t>
                  </w:r>
                </w:p>
              </w:tc>
            </w:tr>
            <w:tr w:rsidR="000832AF" w:rsidRPr="000832AF">
              <w:tc>
                <w:tcPr>
                  <w:tcW w:w="9255" w:type="dxa"/>
                  <w:gridSpan w:val="7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c>
                <w:tcPr>
                  <w:tcW w:w="9255" w:type="dxa"/>
                  <w:gridSpan w:val="7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c>
                <w:tcPr>
                  <w:tcW w:w="9255" w:type="dxa"/>
                  <w:gridSpan w:val="7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c>
                <w:tcPr>
                  <w:tcW w:w="9255" w:type="dxa"/>
                  <w:gridSpan w:val="7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c>
                <w:tcPr>
                  <w:tcW w:w="9255" w:type="dxa"/>
                  <w:gridSpan w:val="7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c>
                <w:tcPr>
                  <w:tcW w:w="9255" w:type="dxa"/>
                  <w:gridSpan w:val="7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c>
                <w:tcPr>
                  <w:tcW w:w="9255" w:type="dxa"/>
                  <w:gridSpan w:val="7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c>
                <w:tcPr>
                  <w:tcW w:w="9255" w:type="dxa"/>
                  <w:gridSpan w:val="7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b/>
                      <w:bCs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Выводы и рекомендации</w:t>
                  </w:r>
                </w:p>
              </w:tc>
            </w:tr>
            <w:tr w:rsidR="000832AF" w:rsidRPr="000832AF">
              <w:tc>
                <w:tcPr>
                  <w:tcW w:w="9255" w:type="dxa"/>
                  <w:gridSpan w:val="7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c>
                <w:tcPr>
                  <w:tcW w:w="9255" w:type="dxa"/>
                  <w:gridSpan w:val="7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c>
                <w:tcPr>
                  <w:tcW w:w="9255" w:type="dxa"/>
                  <w:gridSpan w:val="7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c>
                <w:tcPr>
                  <w:tcW w:w="9255" w:type="dxa"/>
                  <w:gridSpan w:val="7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c>
                <w:tcPr>
                  <w:tcW w:w="9255" w:type="dxa"/>
                  <w:gridSpan w:val="7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c>
                <w:tcPr>
                  <w:tcW w:w="9255" w:type="dxa"/>
                  <w:gridSpan w:val="7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832AF" w:rsidRPr="000832AF">
              <w:tc>
                <w:tcPr>
                  <w:tcW w:w="4650" w:type="dxa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Заключение составил</w:t>
                  </w:r>
                </w:p>
              </w:tc>
              <w:tc>
                <w:tcPr>
                  <w:tcW w:w="2310" w:type="dxa"/>
                  <w:gridSpan w:val="3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Подпись</w:t>
                  </w:r>
                </w:p>
              </w:tc>
              <w:tc>
                <w:tcPr>
                  <w:tcW w:w="2310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832AF">
                    <w:rPr>
                      <w:rFonts w:eastAsia="Times New Roman" w:cs="Times New Roman"/>
                      <w:szCs w:val="24"/>
                      <w:bdr w:val="none" w:sz="0" w:space="0" w:color="auto" w:frame="1"/>
                      <w:lang w:eastAsia="ru-RU"/>
                    </w:rPr>
                    <w:t>Фамилия</w:t>
                  </w:r>
                </w:p>
              </w:tc>
            </w:tr>
            <w:tr w:rsidR="000832AF" w:rsidRPr="000832AF">
              <w:tc>
                <w:tcPr>
                  <w:tcW w:w="2310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110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0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5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0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0" w:type="dxa"/>
                  <w:hideMark/>
                </w:tcPr>
                <w:p w:rsidR="00064A41" w:rsidRPr="000832AF" w:rsidRDefault="00064A41" w:rsidP="00064A41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64A41" w:rsidRPr="000832AF" w:rsidRDefault="00064A41" w:rsidP="00064A41">
      <w:pPr>
        <w:spacing w:line="360" w:lineRule="atLeast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bookmarkStart w:id="14" w:name="i143980"/>
      <w:r w:rsidRPr="000832AF">
        <w:rPr>
          <w:rFonts w:eastAsia="Times New Roman" w:cs="Times New Roman"/>
          <w:b/>
          <w:bCs/>
          <w:kern w:val="36"/>
          <w:sz w:val="30"/>
          <w:szCs w:val="30"/>
          <w:bdr w:val="none" w:sz="0" w:space="0" w:color="auto" w:frame="1"/>
          <w:lang w:eastAsia="ru-RU"/>
        </w:rPr>
        <w:lastRenderedPageBreak/>
        <w:t>Библиография</w:t>
      </w:r>
      <w:bookmarkEnd w:id="1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929"/>
        <w:gridCol w:w="5765"/>
      </w:tblGrid>
      <w:tr w:rsidR="000832AF" w:rsidRPr="000832AF" w:rsidTr="00064A41">
        <w:tc>
          <w:tcPr>
            <w:tcW w:w="350" w:type="pct"/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5" w:name="i154189"/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[1]</w:t>
            </w:r>
            <w:bookmarkEnd w:id="15"/>
          </w:p>
        </w:tc>
        <w:tc>
          <w:tcPr>
            <w:tcW w:w="1550" w:type="pct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Правила безопасности Госгортехнадзора России</w:t>
            </w:r>
          </w:p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ПБ 03-372-00</w:t>
            </w:r>
          </w:p>
        </w:tc>
        <w:tc>
          <w:tcPr>
            <w:tcW w:w="3050" w:type="pct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Правила аттестации и основные требования к лабораториям неразрушающего контроля</w:t>
            </w:r>
          </w:p>
        </w:tc>
      </w:tr>
      <w:tr w:rsidR="000832AF" w:rsidRPr="000832AF" w:rsidTr="00064A41">
        <w:tc>
          <w:tcPr>
            <w:tcW w:w="350" w:type="pct"/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6" w:name="i162153"/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[2]</w:t>
            </w:r>
            <w:bookmarkEnd w:id="16"/>
          </w:p>
        </w:tc>
        <w:tc>
          <w:tcPr>
            <w:tcW w:w="1550" w:type="pct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Правила безопасности Госгортехнадзора России</w:t>
            </w:r>
          </w:p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ПБ 03-440-02</w:t>
            </w:r>
          </w:p>
        </w:tc>
        <w:tc>
          <w:tcPr>
            <w:tcW w:w="3050" w:type="pct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Правила аттестации персонала в области неразрушающего контроля</w:t>
            </w:r>
          </w:p>
        </w:tc>
      </w:tr>
      <w:tr w:rsidR="000832AF" w:rsidRPr="000832AF" w:rsidTr="00064A41">
        <w:tc>
          <w:tcPr>
            <w:tcW w:w="350" w:type="pct"/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7" w:name="i173183"/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[3]</w:t>
            </w:r>
            <w:bookmarkEnd w:id="17"/>
          </w:p>
        </w:tc>
        <w:tc>
          <w:tcPr>
            <w:tcW w:w="1550" w:type="pct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Руководящий документ Госгортехнадзора России</w:t>
            </w:r>
          </w:p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РД 03-379-00</w:t>
            </w:r>
          </w:p>
        </w:tc>
        <w:tc>
          <w:tcPr>
            <w:tcW w:w="3050" w:type="pct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Требования к квалификации специалистов по акустико-эмиссионному методу неразрушающего контроля</w:t>
            </w:r>
          </w:p>
        </w:tc>
      </w:tr>
      <w:tr w:rsidR="000832AF" w:rsidRPr="000832AF" w:rsidTr="00064A41">
        <w:tc>
          <w:tcPr>
            <w:tcW w:w="350" w:type="pct"/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8" w:name="i185402"/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[4]</w:t>
            </w:r>
            <w:bookmarkEnd w:id="18"/>
          </w:p>
        </w:tc>
        <w:tc>
          <w:tcPr>
            <w:tcW w:w="1550" w:type="pct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Руководящий документ Госгортехнадзора России</w:t>
            </w:r>
          </w:p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PД 03-299-99</w:t>
            </w:r>
          </w:p>
        </w:tc>
        <w:tc>
          <w:tcPr>
            <w:tcW w:w="3050" w:type="pct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Требования к акустико-эмиссионной аппаратуре, используемой для контроля опасных производственных объектов</w:t>
            </w:r>
          </w:p>
        </w:tc>
      </w:tr>
      <w:tr w:rsidR="000832AF" w:rsidRPr="000832AF" w:rsidTr="00064A41">
        <w:tc>
          <w:tcPr>
            <w:tcW w:w="350" w:type="pct"/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9" w:name="i192908"/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[5]</w:t>
            </w:r>
            <w:bookmarkEnd w:id="19"/>
          </w:p>
        </w:tc>
        <w:tc>
          <w:tcPr>
            <w:tcW w:w="1550" w:type="pct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Руководящий документ Госгортехнадзора России</w:t>
            </w:r>
          </w:p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РД 03-300-99</w:t>
            </w:r>
          </w:p>
        </w:tc>
        <w:tc>
          <w:tcPr>
            <w:tcW w:w="3050" w:type="pct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Требования к преобразователям акустической эмиссии, применяемым для контроля опасных производственных объектов</w:t>
            </w:r>
          </w:p>
        </w:tc>
      </w:tr>
      <w:tr w:rsidR="000832AF" w:rsidRPr="000832AF" w:rsidTr="00064A41">
        <w:tc>
          <w:tcPr>
            <w:tcW w:w="350" w:type="pct"/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0" w:name="i203556"/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[6]</w:t>
            </w:r>
            <w:bookmarkEnd w:id="20"/>
          </w:p>
        </w:tc>
        <w:tc>
          <w:tcPr>
            <w:tcW w:w="1550" w:type="pct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Правила безопасности Госгортехнадзора России</w:t>
            </w:r>
          </w:p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ПБ 03-593-03</w:t>
            </w:r>
          </w:p>
        </w:tc>
        <w:tc>
          <w:tcPr>
            <w:tcW w:w="3050" w:type="pct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Правила организации акустико-эмиссионного контроля сосудов, аппаратов, котлов и технологических трубопроводов</w:t>
            </w:r>
          </w:p>
        </w:tc>
      </w:tr>
      <w:tr w:rsidR="000832AF" w:rsidRPr="000832AF" w:rsidTr="00064A41">
        <w:tc>
          <w:tcPr>
            <w:tcW w:w="350" w:type="pct"/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1" w:name="i214821"/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[7]</w:t>
            </w:r>
            <w:bookmarkEnd w:id="21"/>
          </w:p>
        </w:tc>
        <w:tc>
          <w:tcPr>
            <w:tcW w:w="4600" w:type="pct"/>
            <w:gridSpan w:val="2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Правила технической эксплуатации электроустановок потребителей (утверждены приказом Минэнерго России от 13 января 2003 г. № 6)</w:t>
            </w:r>
          </w:p>
        </w:tc>
      </w:tr>
      <w:tr w:rsidR="000832AF" w:rsidRPr="000832AF" w:rsidTr="00064A41">
        <w:tc>
          <w:tcPr>
            <w:tcW w:w="350" w:type="pct"/>
            <w:hideMark/>
          </w:tcPr>
          <w:p w:rsidR="00064A41" w:rsidRPr="000832AF" w:rsidRDefault="00064A41" w:rsidP="00064A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2" w:name="i226816"/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[8]</w:t>
            </w:r>
            <w:bookmarkEnd w:id="22"/>
          </w:p>
        </w:tc>
        <w:tc>
          <w:tcPr>
            <w:tcW w:w="4600" w:type="pct"/>
            <w:gridSpan w:val="2"/>
            <w:hideMark/>
          </w:tcPr>
          <w:p w:rsidR="00064A41" w:rsidRPr="000832AF" w:rsidRDefault="00064A41" w:rsidP="00064A4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832AF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Правила устройства электроустановок (утверждены приказом Минэнерго России от 8 июля 2002 г. № 204)</w:t>
            </w:r>
          </w:p>
        </w:tc>
      </w:tr>
    </w:tbl>
    <w:p w:rsidR="00064A41" w:rsidRPr="000832AF" w:rsidRDefault="00064A41" w:rsidP="00064A41">
      <w:pPr>
        <w:spacing w:line="210" w:lineRule="atLeast"/>
        <w:ind w:firstLine="0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Ключевыеслова</w:t>
      </w:r>
      <w:proofErr w:type="spellEnd"/>
      <w:r w:rsidRPr="000832A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:</w:t>
      </w:r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 акустико-эмиссионный </w:t>
      </w:r>
      <w:proofErr w:type="spellStart"/>
      <w:proofErr w:type="gram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контроль,переход</w:t>
      </w:r>
      <w:proofErr w:type="spellEnd"/>
      <w:proofErr w:type="gram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, газопроводы магистральные, водные преграды, автомобильные </w:t>
      </w:r>
      <w:proofErr w:type="spellStart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>дороги,железные</w:t>
      </w:r>
      <w:proofErr w:type="spellEnd"/>
      <w:r w:rsidRPr="000832AF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дороги, методика</w:t>
      </w:r>
    </w:p>
    <w:p w:rsidR="003F77FD" w:rsidRPr="000832AF" w:rsidRDefault="003F77FD"/>
    <w:sectPr w:rsidR="003F77FD" w:rsidRPr="0008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D51DB"/>
    <w:multiLevelType w:val="multilevel"/>
    <w:tmpl w:val="4EE2B356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1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1701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1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37"/>
    <w:rsid w:val="00064A41"/>
    <w:rsid w:val="000832AF"/>
    <w:rsid w:val="003F77FD"/>
    <w:rsid w:val="006C1837"/>
    <w:rsid w:val="009A3B2A"/>
    <w:rsid w:val="00B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4F95F-9662-4E08-8E5D-018A05FE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* Обычный"/>
    <w:qFormat/>
    <w:rsid w:val="00BD6B9E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aliases w:val="* Заголовок 1"/>
    <w:basedOn w:val="a"/>
    <w:next w:val="a"/>
    <w:link w:val="10"/>
    <w:uiPriority w:val="9"/>
    <w:qFormat/>
    <w:rsid w:val="00BD6B9E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*Табл. Запол-е"/>
    <w:basedOn w:val="a"/>
    <w:next w:val="a"/>
    <w:link w:val="-0"/>
    <w:qFormat/>
    <w:rsid w:val="00BD6B9E"/>
  </w:style>
  <w:style w:type="character" w:customStyle="1" w:styleId="-0">
    <w:name w:val="*Табл. Запол-е Знак"/>
    <w:basedOn w:val="a0"/>
    <w:link w:val="-"/>
    <w:rsid w:val="00BD6B9E"/>
    <w:rPr>
      <w:rFonts w:ascii="Times New Roman" w:hAnsi="Times New Roman"/>
      <w:sz w:val="24"/>
    </w:rPr>
  </w:style>
  <w:style w:type="paragraph" w:customStyle="1" w:styleId="-1">
    <w:name w:val="*Табл. Назв-е"/>
    <w:basedOn w:val="a"/>
    <w:next w:val="a"/>
    <w:link w:val="-2"/>
    <w:qFormat/>
    <w:rsid w:val="00BD6B9E"/>
    <w:pPr>
      <w:jc w:val="right"/>
    </w:pPr>
  </w:style>
  <w:style w:type="character" w:customStyle="1" w:styleId="-2">
    <w:name w:val="*Табл. Назв-е Знак"/>
    <w:basedOn w:val="a0"/>
    <w:link w:val="-1"/>
    <w:rsid w:val="00BD6B9E"/>
    <w:rPr>
      <w:rFonts w:ascii="Times New Roman" w:hAnsi="Times New Roman"/>
      <w:sz w:val="24"/>
    </w:rPr>
  </w:style>
  <w:style w:type="paragraph" w:customStyle="1" w:styleId="-3">
    <w:name w:val="*Шапка. Рис_Назв-е. Табл_Шапка. Карт_центр."/>
    <w:basedOn w:val="a"/>
    <w:next w:val="a"/>
    <w:link w:val="-4"/>
    <w:qFormat/>
    <w:rsid w:val="00BD6B9E"/>
    <w:pPr>
      <w:jc w:val="center"/>
    </w:pPr>
    <w:rPr>
      <w:rFonts w:cs="Times New Roman"/>
      <w:color w:val="000000"/>
      <w:szCs w:val="28"/>
    </w:rPr>
  </w:style>
  <w:style w:type="character" w:customStyle="1" w:styleId="-4">
    <w:name w:val="*Шапка. Рис_Назв-е. Табл_Шапка. Карт_центр. Знак"/>
    <w:basedOn w:val="a0"/>
    <w:link w:val="-3"/>
    <w:rsid w:val="00BD6B9E"/>
    <w:rPr>
      <w:rFonts w:ascii="Times New Roman" w:hAnsi="Times New Roman" w:cs="Times New Roman"/>
      <w:color w:val="000000"/>
      <w:sz w:val="24"/>
      <w:szCs w:val="28"/>
    </w:rPr>
  </w:style>
  <w:style w:type="character" w:customStyle="1" w:styleId="10">
    <w:name w:val="Заголовок 1 Знак"/>
    <w:aliases w:val="* Заголовок 1 Знак"/>
    <w:basedOn w:val="a0"/>
    <w:link w:val="1"/>
    <w:uiPriority w:val="9"/>
    <w:rsid w:val="00BD6B9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itle"/>
    <w:aliases w:val="* Название"/>
    <w:basedOn w:val="a"/>
    <w:next w:val="a"/>
    <w:link w:val="a4"/>
    <w:uiPriority w:val="10"/>
    <w:qFormat/>
    <w:rsid w:val="00BD6B9E"/>
    <w:pPr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a4">
    <w:name w:val="Заголовок Знак"/>
    <w:aliases w:val="* Название Знак"/>
    <w:basedOn w:val="a0"/>
    <w:link w:val="a3"/>
    <w:uiPriority w:val="10"/>
    <w:rsid w:val="00BD6B9E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character" w:styleId="a5">
    <w:name w:val="Subtle Emphasis"/>
    <w:aliases w:val="Вывод"/>
    <w:basedOn w:val="-4"/>
    <w:uiPriority w:val="19"/>
    <w:qFormat/>
    <w:rsid w:val="00BD6B9E"/>
    <w:rPr>
      <w:rFonts w:ascii="Times New Roman" w:hAnsi="Times New Roman" w:cs="Times New Roman"/>
      <w:b/>
      <w:i w:val="0"/>
      <w:iCs/>
      <w:color w:val="auto"/>
      <w:sz w:val="24"/>
      <w:szCs w:val="28"/>
    </w:rPr>
  </w:style>
  <w:style w:type="character" w:customStyle="1" w:styleId="apple-converted-space">
    <w:name w:val="apple-converted-space"/>
    <w:basedOn w:val="a0"/>
    <w:rsid w:val="00064A41"/>
  </w:style>
  <w:style w:type="paragraph" w:styleId="11">
    <w:name w:val="toc 1"/>
    <w:basedOn w:val="a"/>
    <w:autoRedefine/>
    <w:uiPriority w:val="39"/>
    <w:semiHidden/>
    <w:unhideWhenUsed/>
    <w:rsid w:val="00064A4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64A4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64A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3648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6596</Words>
  <Characters>37598</Characters>
  <Application>Microsoft Office Word</Application>
  <DocSecurity>0</DocSecurity>
  <Lines>313</Lines>
  <Paragraphs>88</Paragraphs>
  <ScaleCrop>false</ScaleCrop>
  <Company/>
  <LinksUpToDate>false</LinksUpToDate>
  <CharactersWithSpaces>44106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cae-cube.ru</dc:creator>
  <cp:keywords/>
  <dc:description/>
  <cp:lastModifiedBy>Черных</cp:lastModifiedBy>
  <cp:revision>5</cp:revision>
  <dcterms:created xsi:type="dcterms:W3CDTF">2015-04-27T09:48:00Z</dcterms:created>
  <dcterms:modified xsi:type="dcterms:W3CDTF">2016-03-29T06:11:00Z</dcterms:modified>
</cp:coreProperties>
</file>